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Case 3 — Previsão de Gasto Mensal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O que foi feito em cada célula dos notebooks, por quê, e os resultados</w:t>
      </w:r>
    </w:p>
    <w:p>
      <w:pPr>
        <w:spacing w:after="160"/>
        <w:jc w:val="both"/>
      </w:pPr>
      <w:r>
        <w:rPr>
          <w:sz w:val="22"/>
          <w:szCs w:val="22"/>
        </w:rPr>
        <w:t xml:space="preserve">Este documento explica, célula a célula, o que cada um dos seis notebooks do Case 3 faz e por que foi feito daquele jeito. O objetivo do projeto é prever o gasto_mensal de cada cliente a partir do seu perfil e comportamento recente, para apoiar priorização de ações de CRM, dimensionamento de metas de receita por carteira e identificação de clientes gastando abaixo do esperado para o seu perfil.</w:t>
      </w:r>
    </w:p>
    <w:p>
      <w:pPr>
        <w:spacing w:after="160"/>
        <w:jc w:val="both"/>
      </w:pPr>
      <w:r>
        <w:rPr>
          <w:sz w:val="22"/>
          <w:szCs w:val="22"/>
        </w:rPr>
        <w:t xml:space="preserve">Suposição importante, declarada desde o início do projeto (README e notebook 01): a base não tem timestamp explícito, então assume-se que as features descrevem o cliente antes do período de gasto_mensal sendo previsto. Essa suposição não dá para confirmar só com os dados em mãos (ver DATA_DICTIONARY.md).</w:t>
      </w:r>
    </w:p>
    <w:p>
      <w:pPr>
        <w:spacing w:after="160"/>
        <w:jc w:val="both"/>
      </w:pPr>
      <w:r>
        <w:rPr>
          <w:sz w:val="22"/>
          <w:szCs w:val="22"/>
        </w:rPr>
        <w:t xml:space="preserve">Os seis notebooks rodam em sequência (01 → 02 → 03 → 04 → 05 → 06): cada um lê o que o anterior salvou em data/processed/. Só são detalhadas as células de código que produzem um resultado relevante (número, tabela ou gráfico); células apenas de importação de bibliotecas ou sem output são omitidas.</w:t>
      </w:r>
    </w:p>
    <w:p>
      <w:pPr>
        <w:pStyle w:val="Heading1"/>
        <w:pBdr>
          <w:bottom w:val="single" w:color="1F4E79" w:sz="6" w:space="4"/>
        </w:pBdr>
        <w:spacing w:after="120" w:before="400"/>
      </w:pPr>
      <w:r>
        <w:rPr>
          <w:b/>
          <w:bCs/>
        </w:rPr>
        <w:t xml:space="preserve">Notebook 1 — 01_EDA.ipynb</w:t>
      </w:r>
    </w:p>
    <w:p>
      <w:pPr>
        <w:spacing w:after="240"/>
        <w:jc w:val="both"/>
      </w:pPr>
      <w:r>
        <w:rPr>
          <w:i/>
          <w:iCs/>
          <w:color w:val="555555"/>
          <w:sz w:val="22"/>
          <w:szCs w:val="22"/>
        </w:rPr>
        <w:t xml:space="preserve">O notebook mais longo do pipeline: é aqui que os dois problemas de qualidade de dado da base (idade implausível e tempo_cliente inconsistente) são diagnosticados e tratados com teste de sensibilidade, em vez de só removidos por suspeita, e que a target e as features são entendidas antes de qualquer modelo ser treinado.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3</w:t>
      </w:r>
      <w:r>
        <w:rPr>
          <w:b/>
          <w:bCs/>
        </w:rPr>
        <w:t xml:space="preserve">  —  Carregar e entender a estrutura dos dados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Carrega os dados brutos e aplica uma limpeza mínima (sem os filtros de idade ou tempo_cliente), só para diagnóstico; mostra o formato e as primeiras linhas.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Entender a estrutura da base antes de aplicar qualquer filtro definitivo.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2.200 linhas e 10 colunas (9 features + gasto_mensal).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4</w:t>
      </w:r>
      <w:r>
        <w:rPr>
          <w:b/>
          <w:bCs/>
        </w:rPr>
        <w:t xml:space="preserve">  —  Qualidade dos dados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Verifica tipos de dado, valores ausentes, linhas duplicadas e valores negativos em cada coluna numérica.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Checklist básico de qualidade de dado antes de seguir para qualquer análise mais profunda.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Nenhum valor ausente, nenhuma duplicata e nenhum valor negativo — a base é tecnicamente limpa (mas tem um problema de plausibilidade, tratado a seguir).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6</w:t>
      </w:r>
      <w:r>
        <w:rPr>
          <w:b/>
          <w:bCs/>
        </w:rPr>
        <w:t xml:space="preserve">  —  Idade implausível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Identifica quantas linhas têm idade abaixo de 18 anos e descreve estatisticamente essas idades.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Uma idade abaixo de 18 anos é implausível para um cliente com histórico de compras — precisa ser investigada, não só descartada por suspeita.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39 de 2.200 linhas (1,8%) com idade implausível, variando de cerca de 3 a 18 anos.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8</w:t>
      </w:r>
      <w:r>
        <w:rPr>
          <w:b/>
          <w:bCs/>
        </w:rPr>
        <w:t xml:space="preserve">  —  Teste de sensibilidade — idade implausível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Compara o RMSE médio de um modelo Ridge em 10 seeds diferentes, com e sem as 39 linhas de idade implausível, e compara o erro absoluto médio dessas linhas com o do restante da base.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Decidir a remoção com evidência (efeito na performance + se são "casos difíceis"), em vez de só por suspeita sobre a origem do dado.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RMSE médio quase idêntico (365,4 com vs. 370,1 sem — efeito neutro/levemente negativo); erro absoluto médio menor nessas 39 linhas (R$ 230,2) do que no resto da base (R$ 284,7) — não são casos difíceis. Decisão: remover por validade do dado, não por ganho de performance.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11</w:t>
      </w:r>
      <w:r>
        <w:rPr>
          <w:b/>
          <w:bCs/>
        </w:rPr>
        <w:t xml:space="preserve">  —  tempo_cliente inconsistente com a idade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Identifica linhas em que tempo_cliente é maior que idade − 18, ou seja, o cliente teria começado a comprar antes dos 18 anos.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Aplicar o mesmo raciocínio de plausibilidade usado para idade a uma segunda inconsistência relacionada a ela.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89 de 2.161 linhas (4,1%, já sem as de idade implausível) com essa inconsistência.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13</w:t>
      </w:r>
      <w:r>
        <w:rPr>
          <w:b/>
          <w:bCs/>
        </w:rPr>
        <w:t xml:space="preserve">  —  Teste de sensibilidade — tempo_cliente inconsistente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Repete o teste de sensibilidade (RMSE com/sem remoção em 10 seeds + erro absoluto médio) para essas 89 linhas.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Mesma lógica de decisão baseada em evidência usada para a idade implausível.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RMSE cai de 370,1 para 362,1 ao remover (queda mais consistente entre seeds do que a vista na idade); mas o erro absoluto médio dessas linhas (R$ 263,3) também é menor que o resto (R$ 285,4) — a queda de RMSE é efeito colateral de mudar a composição da base, não o motivo da remoção. Decisão também por validade do dado.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15</w:t>
      </w:r>
      <w:r>
        <w:rPr>
          <w:b/>
          <w:bCs/>
        </w:rPr>
        <w:t xml:space="preserve">  —  Aplicar a limpeza oficial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Aplica data_prep.clean_data() com os dois filtros ativos por padrão (idade implausível e tempo_cliente inconsistente).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Consolidar a limpeza oficial que será usada em todo o restante do pipeline (notebooks 02 a 06 e run_all.py).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Dataset limpo com 2.072 linhas (de 2.200 originais).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17</w:t>
      </w:r>
      <w:r>
        <w:rPr>
          <w:b/>
          <w:bCs/>
        </w:rPr>
        <w:t xml:space="preserve">  —  Entender a target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Calcula estatísticas descritivas (describe()) da coluna gasto_mensal.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Entender a escala e a dispersão da variável que será prevista antes de seguir para os modelos.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Média R$ 2.383,9; desvio-padrão R$ 553,6; mínimo R$ 601,5; máximo R$ 4.435,1.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19</w:t>
      </w:r>
      <w:r>
        <w:rPr>
          <w:b/>
          <w:bCs/>
        </w:rPr>
        <w:t xml:space="preserve">  —  Distribuição da target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Plota histograma e boxplot de gasto_mensal, e calcula assimetria (skew) e curtose.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Checar se a target precisa de alguma transformação (ex. log) antes de modelar.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Assimetria=0,126, curtose=0,107 — distribuição praticamente simétrica, sem necessidade de transformação.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21</w:t>
      </w:r>
      <w:r>
        <w:rPr>
          <w:b/>
          <w:bCs/>
        </w:rPr>
        <w:t xml:space="preserve">  —  Outliers da target (regra IQR)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Aplica a regra de 1,5×IQR para identificar valores extremos na target.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Quantificar quantos valores extremos existem antes de decidir removê-los ou mantê-los.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19 outliers (0,9% da base) — poucos, mantidos por poderem representar comportamento real de clientes.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24</w:t>
      </w:r>
      <w:r>
        <w:rPr>
          <w:b/>
          <w:bCs/>
        </w:rPr>
        <w:t xml:space="preserve">  —  EDA univariada de todas as features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Plota o histograma de cada uma das 9 features e gera uma tabela de estatísticas descritivas (describe()) por coluna.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Entender a distribuição individual de cada feature, não só sua correlação agregada com a target.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Tabela com média, desvio-padrão e quartis das 9 features (ex.: renda com média R$ 6.603, desconto com média 11,8).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25</w:t>
      </w:r>
      <w:r>
        <w:rPr>
          <w:b/>
          <w:bCs/>
        </w:rPr>
        <w:t xml:space="preserve">  —  Outliers por feature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Aplica a regra do IQR a cada uma das 9 features individualmente, calculando o percentual de outliers de cada uma.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Identificar quais features têm mais valores extremos e avaliar se são erro de dado ou variação real.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renda é a feature com mais outliers (3,76% da base, cauda direita longa, plausível para clientes de alta renda); engajamento não tem outliers (limitado a uma faixa de score que não passa de 100).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28</w:t>
      </w:r>
      <w:r>
        <w:rPr>
          <w:b/>
          <w:bCs/>
        </w:rPr>
        <w:t xml:space="preserve">  —  Correlações entre variáveis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Calcula e plota o heatmap de correlação entre todas as variáveis, e lista a correlação de cada feature com a target, ordenada por força.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Identificar quais features têm relação mais forte com gasto_mensal, orientando expectativas para a etapa de modelagem.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renda (0,405), desconto (0,362), tempo_cliente (0,332) e engajamento (0,274) são as features mais correlacionadas com a target.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29</w:t>
      </w:r>
      <w:r>
        <w:rPr>
          <w:b/>
          <w:bCs/>
        </w:rPr>
        <w:t xml:space="preserve">  —  VIF (colinearidade)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Calcula o Variance Inflation Factor (VIF) de cada feature via regressão auxiliar contra as demais.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Checar colinearidade entre as features de forma mais rigorosa do que só olhar o heatmap visual — colinearidade forte prejudicaria modelos lineares e poderia sinalizar vazamento entre variáveis.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VIF de todas as features muito próximo de 1,0 — sem colinearidade relevante entre elas.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31</w:t>
      </w:r>
      <w:r>
        <w:rPr>
          <w:b/>
          <w:bCs/>
        </w:rPr>
        <w:t xml:space="preserve">  —  Pairplot das variáveis mais correlacionadas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Gera um pairplot (dispersão par a par) das quatro features mais correlacionadas com a target, junto com a própria target.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Visualizar a forma da relação entre essas variáveis e o gasto_mensal (linear ou não).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Gráfico de dispersão par a par, sem output numérico adicional; relações aproximadamente lineares entre as variáveis e a target.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33</w:t>
      </w:r>
      <w:r>
        <w:rPr>
          <w:b/>
          <w:bCs/>
        </w:rPr>
        <w:t xml:space="preserve">  —  Salvar dataset limpo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Salva o dataset limpo resultante em data/processed/dataset_limpo.csv.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Persistir o resultado da limpeza para os notebooks seguintes consumirem sem repetir o processamento.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Arquivo salvo; confirma 39 linhas removidas por idade implausível e 89 por tempo_cliente inconsistente.</w:t>
      </w:r>
    </w:p>
    <w:p>
      <w:pPr>
        <w:pStyle w:val="Heading1"/>
        <w:pBdr>
          <w:bottom w:val="single" w:color="1F4E79" w:sz="6" w:space="4"/>
        </w:pBdr>
        <w:spacing w:after="120" w:before="400"/>
      </w:pPr>
      <w:r>
        <w:rPr>
          <w:b/>
          <w:bCs/>
        </w:rPr>
        <w:t xml:space="preserve">Notebook 2 — 02_Preprocessamento.ipynb</w:t>
      </w:r>
    </w:p>
    <w:p>
      <w:pPr>
        <w:spacing w:after="240"/>
        <w:jc w:val="both"/>
      </w:pPr>
      <w:r>
        <w:rPr>
          <w:i/>
          <w:iCs/>
          <w:color w:val="555555"/>
          <w:sz w:val="22"/>
          <w:szCs w:val="22"/>
        </w:rPr>
        <w:t xml:space="preserve">Com a limpeza já decidida e justificada no notebook 01, este notebook parte do dataset_limpo.csv e cuida só de duas coisas: dividir os dados em treino e teste, e estabelecer um baseline mínimo que qualquer modelo precisa superar.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</w:t>
      </w:r>
      <w:r>
        <w:rPr>
          <w:b/>
          <w:bCs/>
        </w:rPr>
        <w:t xml:space="preserve">  —  Carregar o dataset limpo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Lê o dataset_limpo.csv salvo pelo notebook 01.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Continuar o pipeline a partir da limpeza já decidida, sem repetir o processamento.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2.072 linhas, mesma forma da saída do notebook 01.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4</w:t>
      </w:r>
      <w:r>
        <w:rPr>
          <w:b/>
          <w:bCs/>
        </w:rPr>
        <w:t xml:space="preserve">  —  Criar o split treino/teste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Divide os dados em treino (80%) e teste (20%) com random_state fixo, via holdout aleatório.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Como não há estrutura temporal nem clientes repetidos entre as linhas, um holdout aleatório é apropriado, sem risco de vazamento por dependência temporal ou de grupo — desde que a suposição de ausência de estrutura temporal (declarada no README) se confirme.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1.657 linhas de treino e 415 de teste; médias de gasto_mensal próximas nos dois conjuntos (R$ 2.388,3 no treino vs. R$ 2.366,3 no teste).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6</w:t>
      </w:r>
      <w:r>
        <w:rPr>
          <w:b/>
          <w:bCs/>
        </w:rPr>
        <w:t xml:space="preserve">  —  Criar o baseline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Cria e avalia um modelo baseline que sempre prevê a média de gasto_mensal vista no treino, para qualquer cliente do teste.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Estabelecer o piso mínimo de referência: um modelo só faz sentido se conseguir superar esse baseline.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MAE=418,9; RMSE=520,5; R²≈-0,002; MAPE=19,8%.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8</w:t>
      </w:r>
      <w:r>
        <w:rPr>
          <w:b/>
          <w:bCs/>
        </w:rPr>
        <w:t xml:space="preserve">  —  Salvar train.csv e test.csv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Salva os conjuntos de treino e teste separadamente em data/processed/train.csv e test.csv.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Persistir o split para os notebooks seguintes usarem exatamente os mesmos conjuntos de dados.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Arquivos train.csv e test.csv salvos.</w:t>
      </w:r>
    </w:p>
    <w:p>
      <w:pPr>
        <w:pStyle w:val="Heading1"/>
        <w:pBdr>
          <w:bottom w:val="single" w:color="1F4E79" w:sz="6" w:space="4"/>
        </w:pBdr>
        <w:spacing w:after="120" w:before="400"/>
      </w:pPr>
      <w:r>
        <w:rPr>
          <w:b/>
          <w:bCs/>
        </w:rPr>
        <w:t xml:space="preserve">Notebook 3 — 03_Modelagem_e_Comparacao.ipynb</w:t>
      </w:r>
    </w:p>
    <w:p>
      <w:pPr>
        <w:spacing w:after="240"/>
        <w:jc w:val="both"/>
      </w:pPr>
      <w:r>
        <w:rPr>
          <w:i/>
          <w:iCs/>
          <w:color w:val="555555"/>
          <w:sz w:val="22"/>
          <w:szCs w:val="22"/>
        </w:rPr>
        <w:t xml:space="preserve">Aqui entram os modelos de verdade: seis candidatos são treinados com o mesmo split e comparados pelas mesmas métricas, os erros são olhados visualmente, e um experimento específico (log1p em renda) é testado e descartado com evidência.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</w:t>
      </w:r>
      <w:r>
        <w:rPr>
          <w:b/>
          <w:bCs/>
        </w:rPr>
        <w:t xml:space="preserve">  —  Recarregar split e baseline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Recarrega o split de treino/teste salvo no notebook 02 e recalcula as métricas do baseline.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Ponto de referência consistente para comparar os modelos deste notebook.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MAE=418,9; RMSE=520,5; R²≈-0,002; MAPE=19,8% (mesmos valores do notebook 02).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4</w:t>
      </w:r>
      <w:r>
        <w:rPr>
          <w:b/>
          <w:bCs/>
        </w:rPr>
        <w:t xml:space="preserve">  —  Comparar modelos candidatos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Treina e avalia 6 modelos candidatos (GradientBoosting, Ridge, Linear, RandomForest, XGBoost, DecisionTree) no mesmo split treino/teste.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Comparar múltiplas famílias de modelo — linear, bagging e boosting — antes de escolher candidatos para a etapa de tuning.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GradientBoosting teve o menor RMSE no teste (352,6), seguido por Ridge (357,7) e Linear (357,7); DecisionTree foi o pior colocado (440,6).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6</w:t>
      </w:r>
      <w:r>
        <w:rPr>
          <w:b/>
          <w:bCs/>
        </w:rPr>
        <w:t xml:space="preserve">  —  Tabela comparativa com ganho sobre o baseline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Junta baseline e os 6 modelos numa tabela única, calculando o ganho percentual de RMSE de cada um sobre o baseline; salva em model_comparison.csv.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Consolidar a comparação e quantificar objetivamente o ganho de cada modelo em relação à referência mínima.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Todos os modelos superam o baseline; GradientBoosting tem o maior ganho de RMSE (32,3%), Ridge e Linear ficam próximos (31,3%).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7</w:t>
      </w:r>
      <w:r>
        <w:rPr>
          <w:b/>
          <w:bCs/>
        </w:rPr>
        <w:t xml:space="preserve">  —  Gráfico comparativo de métricas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Plota gráficos de barras de MAE, RMSE, R² e MAPE, um por modelo, lado a lado.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Visualizar a comparação de forma mais direta do que só a tabela numérica.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Confirma visualmente que Linear, Ridge e GradientBoosting lideram nas quatro métricas, coerente com relações majoritariamente lineares vistas na EDA.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9</w:t>
      </w:r>
      <w:r>
        <w:rPr>
          <w:b/>
          <w:bCs/>
        </w:rPr>
        <w:t xml:space="preserve">  —  Previsto x observado (top 4 modelos)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Plota gráficos de dispersão previsto vs. real para os 4 modelos com menor RMSE.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Ver não só o número agregado de erro, mas o padrão de erro — onde o modelo tende a errar mais.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Previsões próximas da linha ideal no meio da faixa de gasto; tendência de superestimar gastos baixos e subestimar gastos altos; um cliente aparece como outlier de erro nos quatro modelos.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11</w:t>
      </w:r>
      <w:r>
        <w:rPr>
          <w:b/>
          <w:bCs/>
        </w:rPr>
        <w:t xml:space="preserve">  —  Experimento: log1p(renda) ajuda os modelos lineares?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Testa, em 10 seeds diferentes, se aplicar log1p em renda antes de padronizar melhora o RMSE de um modelo Ridge.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A EDA (notebook 01) mostrou que renda tem cauda direita longa; testar se comprimir essa cauda ajuda os modelos lineares, já que a relação parecia aproximadamente linear.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log1p piora o RMSE de forma consistente nos 10 splits testados (média de 369,21 com log1p vs. 362,08 com a escala original) — experimento descartado, renda mantida na escala original.</w:t>
      </w:r>
    </w:p>
    <w:p>
      <w:pPr>
        <w:pStyle w:val="Heading1"/>
        <w:pBdr>
          <w:bottom w:val="single" w:color="1F4E79" w:sz="6" w:space="4"/>
        </w:pBdr>
        <w:spacing w:after="120" w:before="400"/>
      </w:pPr>
      <w:r>
        <w:rPr>
          <w:b/>
          <w:bCs/>
        </w:rPr>
        <w:t xml:space="preserve">Notebook 4 — 04_Residuos_e_Cross_Validation.ipynb</w:t>
      </w:r>
    </w:p>
    <w:p>
      <w:pPr>
        <w:spacing w:after="240"/>
        <w:jc w:val="both"/>
      </w:pPr>
      <w:r>
        <w:rPr>
          <w:i/>
          <w:iCs/>
          <w:color w:val="555555"/>
          <w:sz w:val="22"/>
          <w:szCs w:val="22"/>
        </w:rPr>
        <w:t xml:space="preserve">Uma métrica agregada como o RMSE pode esconder padrões de erro sistemáticos e diferenças entre grupos de clientes. Este notebook cobre o diagnóstico de resíduos do melhor modelo no teste, a validação cruzada K-Fold em todos os modelos (que de fato orienta a escolha do modelo final no notebook 05), e uma primeira checagem de robustez por faixa de renda.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</w:t>
      </w:r>
      <w:r>
        <w:rPr>
          <w:b/>
          <w:bCs/>
        </w:rPr>
        <w:t xml:space="preserve">  —  Recarregar split e comparação de modelos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Recarrega o split, os modelos e a tabela de comparação salva no notebook 03.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Continuar a análise a partir do que já foi decidido, sem retrabalho.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Tabela de comparação reproduzida (mesmos números do notebook 03).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4</w:t>
      </w:r>
      <w:r>
        <w:rPr>
          <w:b/>
          <w:bCs/>
        </w:rPr>
        <w:t xml:space="preserve">  —  Diagnóstico de resíduos do melhor modelo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Calcula os resíduos do melhor modelo no teste (GradientBoosting) e plota os gráficos de diagnóstico (resíduo × previsto, Q-Q plot), além do resíduo médio, assimetria e teste de Jarque-Bera.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Uma métrica agregada como RMSE pode esconder padrões sistemáticos de erro; olhar os resíduos diretamente é mais rigoroso.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Resíduo médio próximo de zero (9,31); assimetria quase nula (-0,030); Jarque-Bera p=0,832 (resíduos compatíveis com normalidade).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5</w:t>
      </w:r>
      <w:r>
        <w:rPr>
          <w:b/>
          <w:bCs/>
        </w:rPr>
        <w:t xml:space="preserve">  —  Teste de Breusch-Pagan (heterocedasticidade)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Aplica o teste de Breusch-Pagan sobre os resíduos do modelo.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Checar heterocedasticidade (variância do erro não constante ao longo da faixa de previsão) de forma estatística, não só por inspeção visual do gráfico.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Estatística LM=6,60, p-valor=0,678 — sem evidência forte de heterocedasticidade.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7</w:t>
      </w:r>
      <w:r>
        <w:rPr>
          <w:b/>
          <w:bCs/>
        </w:rPr>
        <w:t xml:space="preserve">  —  Validação cruzada K-Fold (todos os modelos)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Roda validação cruzada K-Fold (k=5) para todos os 6 modelos, medindo média e desvio-padrão de MAE/RMSE/R² entre os folds; salva em cv_results.csv.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Um único split de treino/teste pode parecer melhor ou pior do que realmente é, só por sorte da divisão — a CV é a evidência que de fato orienta a escolha do modelo final no notebook 05.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Ridge e Linear têm o menor RMSE médio de CV (363,7), seguidos por GradientBoosting (376,6); XGBoost e RandomForest são mais estáveis entre folds, mas com RMSE mais alto.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8</w:t>
      </w:r>
      <w:r>
        <w:rPr>
          <w:b/>
          <w:bCs/>
        </w:rPr>
        <w:t xml:space="preserve">  —  Gráfico de estabilidade da CV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Plota um boxplot do RMSE de cada modelo entre os 5 folds.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Visualizar a estabilidade (variabilidade) de cada modelo, não só a média reportada na tabela.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Confirma que os modelos lineares têm o RMSE médio mais baixo, enquanto RandomForest e XGBoost são mais estáveis entre folds (menor variância), mas com RMSE maior.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10</w:t>
      </w:r>
      <w:r>
        <w:rPr>
          <w:b/>
          <w:bCs/>
        </w:rPr>
        <w:t xml:space="preserve">  —  Robustez por faixa de renda (exploratória)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Calcula MAE, RMSE e MAPE do melhor modelo do holdout separadamente por quartil de renda.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Uma métrica agregada pode esconder diferenças de desempenho entre grupos de clientes; checar se a qualidade da previsão é uniforme entre faixas de renda.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MAPE varia de 10,5% (quartil de renda mais alta) a 14,3% (uma faixa intermediária) — o erro relativo não é uniforme entre segmentos de renda.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11</w:t>
      </w:r>
      <w:r>
        <w:rPr>
          <w:b/>
          <w:bCs/>
        </w:rPr>
        <w:t xml:space="preserve">  —  Gráfico de MAPE por faixa de renda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Plota o MAPE por faixa de renda em um gráfico de barras.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Visualizar essa diferença de erro relativo entre segmentos de forma mais direta que a tabela.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O erro relativo tende a ser menor para clientes de renda mais alta e um pouco maior nas faixas mais baixas — diferença relevante para decisões de priorização, mas não dramática.</w:t>
      </w:r>
    </w:p>
    <w:p>
      <w:pPr>
        <w:pStyle w:val="Heading1"/>
        <w:pBdr>
          <w:bottom w:val="single" w:color="1F4E79" w:sz="6" w:space="4"/>
        </w:pBdr>
        <w:spacing w:after="120" w:before="400"/>
      </w:pPr>
      <w:r>
        <w:rPr>
          <w:b/>
          <w:bCs/>
        </w:rPr>
        <w:t xml:space="preserve">Notebook 5 — 05_Tuning_e_Modelo_Final.ipynb</w:t>
      </w:r>
    </w:p>
    <w:p>
      <w:pPr>
        <w:spacing w:after="240"/>
        <w:jc w:val="both"/>
      </w:pPr>
      <w:r>
        <w:rPr>
          <w:i/>
          <w:iCs/>
          <w:color w:val="555555"/>
          <w:sz w:val="22"/>
          <w:szCs w:val="22"/>
        </w:rPr>
        <w:t xml:space="preserve">O notebook da decisão mais importante do projeto: qual modelo vai para produção. Tuna os dois melhores candidatos (o melhor linear e o melhor de árvore/boosting), escolhe entre eles pelo RMSE médio de cross-validation (não uma diferença pontual de teste), e testa formalmente se a diferença entre os dois é estatisticamente significativa antes de declarar qualquer um deles "vencedor".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</w:t>
      </w:r>
      <w:r>
        <w:rPr>
          <w:b/>
          <w:bCs/>
        </w:rPr>
        <w:t xml:space="preserve">  —  Recarregar split e resultados de CV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Recarrega o split de treino/teste e a tabela de resultados de cross-validation salva no notebook 04.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Usar a CV — a evidência mais confiável disponível — como base da decisão de tuning e escolha do modelo final.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Tabela de CV reproduzida (mesmos números do notebook 04).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4</w:t>
      </w:r>
      <w:r>
        <w:rPr>
          <w:b/>
          <w:bCs/>
        </w:rPr>
        <w:t xml:space="preserve">  —  Tuning dos dois melhores candidatos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Usa RandomizedSearchCV (5 folds, 30 iterações, otimizando RMSE) para tunar o melhor modelo linear (Ridge) e o melhor modelo de árvore/boosting (GradientBoosting).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Abordagem mais barata que um grid search completo, mas que ainda cobre bem o espaço de busca com relativamente poucas iterações.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Ridge tunado (alpha=10) com RMSE médio de CV=363,7; GradientBoosting tunado (n_estimators=300, max_depth=2, learning_rate=0,05, subsample=1,0) com RMSE médio de CV=370,7.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6</w:t>
      </w:r>
      <w:r>
        <w:rPr>
          <w:b/>
          <w:bCs/>
        </w:rPr>
        <w:t xml:space="preserve">  —  Seleção do modelo final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Compara os dois candidatos tunados pelo RMSE médio de CV (calculado só no treino) e escolhe o menor; reporta as métricas de teste dos dois apenas para registro.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Usar a evidência mais confiável disponível (CV no treino, com cinco vezes mais dados de avaliação que um único holdout) como critério de decisão, reservando o teste só para reportar a métrica final.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Ridge (tuned) escolhido como modelo final (RMSE de CV=363,7 vs. 370,7 do GradientBoosting); no teste, Ridge obteve RMSE=357,4 e GradientBoosting RMSE=346,6.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8</w:t>
      </w:r>
      <w:r>
        <w:rPr>
          <w:b/>
          <w:bCs/>
        </w:rPr>
        <w:t xml:space="preserve">  —  Teste de significância entre os dois candidatos tunados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Compara os dois candidatos tunados com bootstrap pareado (5.000 reamostragens dos pares observação-previsão) sobre o conjunto de teste.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A diferença de RMSE no teste entre os dois candidatos é pequena; é preciso checar se ela é maior do que o esperado por ruído de amostragem antes de tratar um como "vencedor" de fato.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Diferença observada (Ridge − GradientBoosting) = 10,83; IC 95% [-3,08, 24,47]; p-valor≈0,125 — diferença NÃO estatisticamente significativa: os dois modelos são, na prática, equivalentes em desempenho preditivo.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11</w:t>
      </w:r>
      <w:r>
        <w:rPr>
          <w:b/>
          <w:bCs/>
        </w:rPr>
        <w:t xml:space="preserve">  —  Salvar o modelo final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Salva o modelo final (Ridge tunado) em models/modelo_final.joblib e registra o nome do modelo escolhido num arquivo de texto.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Persistir a decisão do modelo final para o notebook 06 (e para um eventual uso em produção) consumir sem precisar retreinar.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Modelo salvo com sucesso em models/modelo_final.joblib.</w:t>
      </w:r>
    </w:p>
    <w:p>
      <w:pPr>
        <w:pStyle w:val="Heading1"/>
        <w:pBdr>
          <w:bottom w:val="single" w:color="1F4E79" w:sz="6" w:space="4"/>
        </w:pBdr>
        <w:spacing w:after="120" w:before="400"/>
      </w:pPr>
      <w:r>
        <w:rPr>
          <w:b/>
          <w:bCs/>
        </w:rPr>
        <w:t xml:space="preserve">Notebook 6 — 06_Interpretabilidade_e_Validacao_Negocio.ipynb</w:t>
      </w:r>
    </w:p>
    <w:p>
      <w:pPr>
        <w:spacing w:after="240"/>
        <w:jc w:val="both"/>
      </w:pPr>
      <w:r>
        <w:rPr>
          <w:i/>
          <w:iCs/>
          <w:color w:val="555555"/>
          <w:sz w:val="22"/>
          <w:szCs w:val="22"/>
        </w:rPr>
        <w:t xml:space="preserve">Com o modelo final escolhido e salvo, este último notebook responde à pergunta que mais importa para o negócio: por que o modelo prevê o que prevê, e esse raciocínio faz sentido? Usa três formas complementares de interpretação (importância nativa, permutation importance e SHAP), olha casos individuais de erro e acerto, e fecha com uma validação de robustez por segmento e um resumo direto para quem for usar o modelo.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2</w:t>
      </w:r>
      <w:r>
        <w:rPr>
          <w:b/>
          <w:bCs/>
        </w:rPr>
        <w:t xml:space="preserve">  —  Carregar modelo final e recalcular métricas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Carrega o modelo final salvo no notebook 05, recalcula as métricas do baseline e do modelo final no conjunto de teste.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Ponto de partida único e consistente para todas as análises de interpretabilidade e validação deste notebook.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Modelo final: Ridge (tuned). MAE=288,3; RMSE=357,4; R²=0,528; MAPE=13,1%.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4</w:t>
      </w:r>
      <w:r>
        <w:rPr>
          <w:b/>
          <w:bCs/>
        </w:rPr>
        <w:t xml:space="preserve">  —  Importância nativa (Ridge e Random Forest de referência)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Extrai os coeficientes padronizados do Ridge (modelo final) e a feature_importances_ de um Random Forest treinado à parte, só como referência não linear, plotando os dois lado a lado.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Ver quais variáveis o modelo final usa mais para decidir, e comparar com um modelo de natureza diferente para checar se o padrão se mantém.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Gráfico de barras com os coeficientes/importâncias por feature (ver célula 5 para os valores numéricos de referência, via permutation importance).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5</w:t>
      </w:r>
      <w:r>
        <w:rPr>
          <w:b/>
          <w:bCs/>
        </w:rPr>
        <w:t xml:space="preserve">  —  Permutation importance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Calcula a permutation importance do modelo final — o aumento médio do RMSE ao embaralhar cada feature — e salva em permutation_importance.csv.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Medida de importância que funciona para qualquer tipo de modelo, ao contrário da importância nativa, que depende da arquitetura do modelo.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renda (118,7) e desconto (113,9) são as mais importantes, seguidas por tempo_cliente (71,1) e engajamento (50,6); idade tem importância próxima de zero (levemente negativa).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6</w:t>
      </w:r>
      <w:r>
        <w:rPr>
          <w:b/>
          <w:bCs/>
        </w:rPr>
        <w:t xml:space="preserve">  —  SHAP — importância global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Calcula os valores SHAP do modelo final sobre o conjunto de teste e plota o gráfico summary_plot.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Terceira forma de interpretação, complementar às duas anteriores: mede a contribuição de cada feature em cada previsão individual, agregada globalmente.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Gráfico SHAP confirma as mesmas variáveis (renda, desconto, tempo_cliente, engajamento) como as mais influentes, convergindo com a importância nativa e a permutation importance.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8</w:t>
      </w:r>
      <w:r>
        <w:rPr>
          <w:b/>
          <w:bCs/>
        </w:rPr>
        <w:t xml:space="preserve">  —  Explicação local — pior erro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Identifica o cliente com maior erro absoluto no teste e plota o gráfico waterfall do SHAP para essa previsão específica.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Entender como o modelo "raciocinou" no pior caso, não só medir o tamanho do erro agregado.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Cliente com gasto real de R$ 3.028 e previsto R$ 1.831 (erro de R$ 1.197).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9</w:t>
      </w:r>
      <w:r>
        <w:rPr>
          <w:b/>
          <w:bCs/>
        </w:rPr>
        <w:t xml:space="preserve">  —  Explicação local — acertos típicos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Identifica dois clientes com erro absoluto próximo da mediana e plota o waterfall do SHAP para os dois.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Contrastar o pior caso (célula 8) com casos "normais", para ver se o modelo raciocina de forma consistente entre acerto e erro.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Dois casos com erro pequeno (R$ 248 e R$ 247), em que as mesmas features (renda, desconto etc.) dominam a explicação, assim como no pior caso — sugerindo que o erro grande é ruído real na target, não um raciocínio incoerente do modelo.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11</w:t>
      </w:r>
      <w:r>
        <w:rPr>
          <w:b/>
          <w:bCs/>
        </w:rPr>
        <w:t xml:space="preserve">  —  Robustez por segmento (modelo final)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Recalcula MAE, RMSE e MAPE do modelo final por faixa de renda, salvando em metrics_por_faixa_renda.csv.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Validação definitiva sobre o modelo final (não um candidato exploratório do notebook 04) de que o erro não é uniforme entre segmentos de clientes.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MAPE varia de 10,6% (renda mais alta) a 14,3% (uma faixa intermediária de renda).</w:t>
      </w:r>
    </w:p>
    <w:p>
      <w:pPr>
        <w:pStyle w:val="Heading2"/>
        <w:spacing w:after="80" w:before="240"/>
      </w:pPr>
      <w:r>
        <w:rPr>
          <w:b/>
          <w:bCs/>
          <w:color w:val="1F4E79"/>
        </w:rPr>
        <w:t xml:space="preserve">Célula 12</w:t>
      </w:r>
      <w:r>
        <w:rPr>
          <w:b/>
          <w:bCs/>
        </w:rPr>
        <w:t xml:space="preserve">  —  Resumo final de métricas</w:t>
      </w:r>
    </w:p>
    <w:p>
      <w:pPr>
        <w:spacing w:after="100"/>
        <w:jc w:val="both"/>
      </w:pPr>
      <w:r>
        <w:rPr>
          <w:b/>
          <w:bCs/>
        </w:rPr>
        <w:t xml:space="preserve">O que foi feito: </w:t>
      </w:r>
      <w:r>
        <w:t xml:space="preserve">Imprime o resumo final de métricas do modelo final (MAE, RMSE, R², MAPE, redução de RMSE vs. baseline, e o p-valor do teste de Breusch-Pagan).</w:t>
      </w:r>
    </w:p>
    <w:p>
      <w:pPr>
        <w:spacing w:after="100"/>
        <w:jc w:val="both"/>
      </w:pPr>
      <w:r>
        <w:rPr>
          <w:b/>
          <w:bCs/>
        </w:rPr>
        <w:t xml:space="preserve">Por que foi feito: </w:t>
      </w:r>
      <w:r>
        <w:t xml:space="preserve">Consolidar em um único lugar os números que vão para a conclusão do case, prontos para reportar ao negócio.</w:t>
      </w:r>
    </w:p>
    <w:p>
      <w:pPr>
        <w:spacing w:after="100"/>
        <w:jc w:val="both"/>
      </w:pPr>
      <w:r>
        <w:rPr>
          <w:b/>
          <w:bCs/>
        </w:rPr>
        <w:t xml:space="preserve">Resultado: </w:t>
      </w:r>
      <w:r>
        <w:t xml:space="preserve">MAE=R$ 288,3 (12,2% do gasto médio); RMSE=R$ 357,4; R²=0,528; MAPE=13,1%; redução de RMSE de 31,3% em relação ao baseline; Breusch-Pagan p=0,770 (sem heterocedasticidade forte).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2026-09-02T10:11:20.780Z</dcterms:created>
  <dcterms:modified xsi:type="dcterms:W3CDTF">2026-09-02T10:11:20.780Z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