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 xml:space="preserve">Guide </w:t>
                              </w:r>
                              <w:r>
                                <w:rPr>
                                  <w:b/>
                                  <w:color w:val="1F3864" w:themeColor="accent1" w:themeShade="80"/>
                                  <w:sz w:val="48"/>
                                  <w:szCs w:val="48"/>
                                </w:rPr>
                                <w:t xml:space="preserve">2.</w:t>
                              </w:r>
                              <w:r w:rsidRPr="00231F2A">
                                <w:rPr>
                                  <w:b/>
                                  <w:color w:val="1F3864" w:themeColor="accent1" w:themeShade="80"/>
                                  <w:sz w:val="48"/>
                                  <w:szCs w:val="48"/>
                                </w:rPr>
                                <w:t xml:space="preserve"> </w:t>
                              </w:r>
                              <w:r>
                                <w:rPr>
                                  <w:b/>
                                  <w:color w:val="1F3864" w:themeColor="accent1" w:themeShade="80"/>
                                  <w:sz w:val="48"/>
                                  <w:szCs w:val="48"/>
                                </w:rPr>
                                <w:t xml:space="preserve">APT P</w:t>
                              </w:r>
                              <w:r w:rsidRPr="00231F2A">
                                <w:rPr>
                                  <w:b/>
                                  <w:color w:val="1F3864" w:themeColor="accent1" w:themeShade="80"/>
                                  <w:sz w:val="48"/>
                                  <w:szCs w:val="48"/>
                                </w:rPr>
                                <w:t xml:space="preserve">roject </w:t>
                              </w:r>
                              <w:r>
                                <w:rPr>
                                  <w:b/>
                                  <w:color w:val="1F3864" w:themeColor="accent1" w:themeShade="80"/>
                                  <w:sz w:val="48"/>
                                  <w:szCs w:val="48"/>
                                </w:rPr>
                                <w:t xml:space="preserve">Development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Capstone </w:t>
                              </w:r>
                              <w:r w:rsidR="009552E5">
                                <w:rPr>
                                  <w:b/>
                                  <w:color w:val="1F3864" w:themeColor="accent1" w:themeShade="80"/>
                                  <w:sz w:val="48"/>
                                  <w:szCs w:val="48"/>
                                </w:rPr>
                                <w:t xml:space="preserve">Course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 xml:space="preserve">Guide </w:t>
                        </w:r>
                        <w:r>
                          <w:rPr>
                            <w:b/>
                            <w:color w:val="1F3864" w:themeColor="accent1" w:themeShade="80"/>
                            <w:sz w:val="48"/>
                            <w:szCs w:val="48"/>
                          </w:rPr>
                          <w:t xml:space="preserve">2.</w:t>
                        </w:r>
                        <w:r w:rsidRPr="00231F2A">
                          <w:rPr>
                            <w:b/>
                            <w:color w:val="1F3864" w:themeColor="accent1" w:themeShade="80"/>
                            <w:sz w:val="48"/>
                            <w:szCs w:val="48"/>
                          </w:rPr>
                          <w:t xml:space="preserve"> </w:t>
                        </w:r>
                        <w:r>
                          <w:rPr>
                            <w:b/>
                            <w:color w:val="1F3864" w:themeColor="accent1" w:themeShade="80"/>
                            <w:sz w:val="48"/>
                            <w:szCs w:val="48"/>
                          </w:rPr>
                          <w:t xml:space="preserve">APT P</w:t>
                        </w:r>
                        <w:r w:rsidRPr="00231F2A">
                          <w:rPr>
                            <w:b/>
                            <w:color w:val="1F3864" w:themeColor="accent1" w:themeShade="80"/>
                            <w:sz w:val="48"/>
                            <w:szCs w:val="48"/>
                          </w:rPr>
                          <w:t xml:space="preserve">roject </w:t>
                        </w:r>
                        <w:r>
                          <w:rPr>
                            <w:b/>
                            <w:color w:val="1F3864" w:themeColor="accent1" w:themeShade="80"/>
                            <w:sz w:val="48"/>
                            <w:szCs w:val="48"/>
                          </w:rPr>
                          <w:t xml:space="preserve">Development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Capstone </w:t>
                        </w:r>
                        <w:r w:rsidR="009552E5">
                          <w:rPr>
                            <w:b/>
                            <w:color w:val="1F3864" w:themeColor="accent1" w:themeShade="80"/>
                            <w:sz w:val="48"/>
                            <w:szCs w:val="48"/>
                          </w:rPr>
                          <w:t xml:space="preserve">Course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 APT Project Progress Summary</w:t>
            </w:r>
            <w:r w:rsidRPr="00874D16">
              <w:rPr>
                <w:b/>
                <w:color w:val="1F3864" w:themeColor="accent1" w:themeShade="80"/>
                <w:sz w:val="28"/>
                <w:szCs w:val="28"/>
              </w:rPr>
            </w:r>
            <w:r w:rsidR="00FD5149">
              <w:rPr>
                <w:b/>
                <w:color w:val="1F3864" w:themeColor="accent1" w:themeShade="80"/>
                <w:sz w:val="28"/>
                <w:szCs w:val="28"/>
              </w:rPr>
            </w:r>
            <w:r w:rsidR="006B242E">
              <w:rPr>
                <w:b/>
                <w:color w:val="1F3864" w:themeColor="accent1" w:themeShade="80"/>
                <w:sz w:val="28"/>
                <w:szCs w:val="28"/>
              </w:rPr>
            </w:r>
            <w:r>
              <w:rPr>
                <w:b/>
                <w:color w:val="1F3864" w:themeColor="accent1" w:themeShade="80"/>
                <w:sz w:val="28"/>
                <w:szCs w:val="28"/>
              </w:rPr>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Below you will find several fields that you must complete with the information requested.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APT project progress summary</w:t>
            </w:r>
            <w:r w:rsidRPr="006608A6">
              <w:rPr>
                <w:rFonts w:ascii="Calibri" w:hAnsi="Calibri"/>
                <w:color w:val="1F3864" w:themeColor="accent1" w:themeShade="80"/>
              </w:rPr>
            </w:r>
            <w:r>
              <w:rPr>
                <w:rFonts w:ascii="Calibri" w:hAnsi="Calibri"/>
                <w:color w:val="1F3864" w:themeColor="accent1" w:themeShade="80"/>
              </w:rPr>
            </w:r>
          </w:p>
        </w:tc>
        <w:tc>
          <w:tcPr>
            <w:tcW w:w="7111" w:type="dxa"/>
          </w:tcPr>
          <w:p>
            <w:pPr>
              <w:spacing w:after="80"/>
              <w:jc w:val="both"/>
            </w:pPr>
            <w:r>
              <w:rPr>
                <w:rFonts w:ascii="Calibri" w:hAnsi="Calibri"/>
                <w:b w:val="0"/>
                <w:i w:val="0"/>
                <w:color w:val="000000"/>
                <w:sz w:val="20"/>
              </w:rPr>
              <w:t>During Phase 1 and the first weeks of Phase 2, the team concentrated its work on two fronts: the formal definition of the project and the design of the immersive experience, together with the telemetry architecture that supports it. EmotionLAB VR is a continuity project: the team has been working on it since last year, when the experience was aimed at higher education students, and this phase redirects it towards Secondary School students by incorporating gamification into the experience. The problem addressed is delimited to the deficit in emotional management of Secondary School students facing a specific high-demand situation —an oral presentation or an interview—, in an educational institution in the district of Viña del Mar and with a minimum group of 20 students.</w:t>
            </w:r>
          </w:p>
          <w:p>
            <w:pPr>
              <w:spacing w:after="80"/>
              <w:jc w:val="both"/>
            </w:pPr>
            <w:r>
              <w:rPr>
                <w:rFonts w:ascii="Calibri" w:hAnsi="Calibri"/>
                <w:b w:val="0"/>
                <w:i w:val="0"/>
                <w:color w:val="000000"/>
                <w:sz w:val="20"/>
              </w:rPr>
              <w:t>Planning and documentation (weeks 1 to 4). The formal project documentation was prepared and submitted: Project Charter, Software Requirements Specification (SRS), APT Project Definition Technical Report, APT Project Definition Guide and a 13-week Gantt chart. In parallel, the institutional project repository (CAPSTONE_EMOTIONLAB) was set up, with branch-based work and version control on GitHub, along with the Kanban board on GitHub Projects, where the team records and tracks the tasks of each phase.</w:t>
            </w:r>
          </w:p>
          <w:p>
            <w:pPr>
              <w:spacing w:after="80"/>
              <w:jc w:val="both"/>
            </w:pPr>
            <w:r>
              <w:rPr>
                <w:rFonts w:ascii="Calibri" w:hAnsi="Calibri"/>
                <w:b w:val="0"/>
                <w:i w:val="0"/>
                <w:color w:val="000000"/>
                <w:sz w:val="20"/>
              </w:rPr>
              <w:t>Specific objective 1 — Design of the immersive experience (in progress). The user journey has been defined in its final sequence: waiting room, first presentation in a small room preceded by a guided breathing exercise, second presentation in an office with an audience, a feedback stage with a final guided breathing exercise and a brief self-report survey on how the student feels after the experience and, once it has been answered, the transition to the closing scene: a duck-collecting mini-game in a cosy room, as a space for positive decompression. The visual identity and the gamification component were also defined, and the latter is what distinguishes this version from the previous one. The development of the scenes in Unity and the generation of test builds for the headset are currently under way.</w:t>
            </w:r>
          </w:p>
          <w:p>
            <w:pPr>
              <w:spacing w:after="80"/>
              <w:jc w:val="both"/>
            </w:pPr>
            <w:r>
              <w:rPr>
                <w:rFonts w:ascii="Calibri" w:hAnsi="Calibri"/>
                <w:b w:val="0"/>
                <w:i w:val="0"/>
                <w:color w:val="000000"/>
                <w:sz w:val="20"/>
              </w:rPr>
              <w:t>Specific objective 2 — Telemetry architecture (in progress). The project's data flow has been defined: the application captures the behavioural data generated during the journey and transmits it through an API to the cloud (AWS), where it becomes securely available to the AI team, which is responsible for the classification model and for the dashboard aimed at the teacher or educational psychologist. The scope should be made explicit: our team is responsible for the development and design of the application and for the telemetry —data capture and transmission—, not for the model or the dashboard. The architecture has been defined, implemented and documented with the services actually used: transmission over HTTPS to Amazon API Gateway, which invokes AWS Lambda functions responsible for recording the information in Amazon S3, with the whole infrastructure declared in Terraform. This documentation replaces the generic reference scheme used at the beginning of the phase, so that the evidence represents the actual implementation of the project.</w:t>
            </w:r>
          </w:p>
          <w:p>
            <w:pPr>
              <w:spacing w:after="80"/>
              <w:jc w:val="both"/>
            </w:pPr>
            <w:r>
              <w:rPr>
                <w:rFonts w:ascii="Calibri" w:hAnsi="Calibri"/>
                <w:b w:val="0"/>
                <w:i w:val="0"/>
                <w:color w:val="000000"/>
                <w:sz w:val="20"/>
              </w:rPr>
              <w:t>Specific objective 3 — Field testing (not started, planned for weeks 8 to 11). As of the date of this report, no educational institution has yet confirmed its participation. The standardised contact material and the project presentation are already prepared and contact is being managed with more than one school in the district of Viña del Mar in parallel, together with the institutional Letter of Commitment, precisely in order to reduce the risk of depending on a single response. The start of the field testing is conditioned by that confirmation.</w:t>
            </w:r>
          </w:p>
          <w:p>
            <w:pPr>
              <w:spacing w:after="80"/>
              <w:jc w:val="both"/>
            </w:pPr>
            <w:r>
              <w:rPr>
                <w:rFonts w:ascii="Calibri" w:hAnsi="Calibri"/>
                <w:b w:val="0"/>
                <w:i w:val="0"/>
                <w:color w:val="000000"/>
                <w:sz w:val="20"/>
              </w:rPr>
              <w:t>Specific objective 4 — Privacy protection (cross-cutting, in progress). The telemetry design does not contemplate the capture of identifying data: session records are anonymous and do not allow any particular student to be recognised. Since the participants are adolescent students, the informed consent document for parents and guardians has already been drafted and is available in its final format; the collection of signatures is conditioned by the confirmation of the institution, since the means of distribution must be agreed with its management. As of the date of this report, no signed consent form has been received.</w:t>
            </w:r>
          </w:p>
          <w:p>
            <w:pPr>
              <w:spacing w:after="80"/>
              <w:jc w:val="both"/>
            </w:pPr>
            <w:r>
              <w:rPr>
                <w:rFonts w:ascii="Calibri" w:hAnsi="Calibri"/>
                <w:b w:val="0"/>
                <w:i w:val="0"/>
                <w:color w:val="000000"/>
                <w:sz w:val="20"/>
              </w:rPr>
              <w:t>Adjustments made during this phase. First, following the instructor's feedback, the project narrative was reframed: EmotionLAB does not measure emotions nor turn them into information; rather, it turns behavioural data into useful information for the decision-making of the teacher or educational psychologist. This change of approach was applied to the project presentation and to the documentation in progress. Second, the duration of the field testing was adjusted from 3 to 4 weeks (weeks 8 to 11, from 28 September to 25 October), in order to make it consistent with the specific objective of intervening 2 times per week for 1 month. The general and specific objectives defined in Phase 1 remain unchanged.</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Objectives</w:t>
            </w:r>
          </w:p>
        </w:tc>
        <w:tc>
          <w:tcPr>
            <w:tcW w:w="7111" w:type="dxa"/>
            <w:vAlign w:val="center"/>
          </w:tcPr>
          <w:p>
            <w:pPr>
              <w:spacing w:after="80"/>
              <w:jc w:val="both"/>
            </w:pPr>
            <w:r>
              <w:rPr>
                <w:rFonts w:ascii="Calibri" w:hAnsi="Calibri"/>
                <w:b w:val="0"/>
                <w:i w:val="0"/>
                <w:color w:val="000000"/>
                <w:sz w:val="20"/>
              </w:rPr>
              <w:t>The objectives defined in Phase 1 remain unchanged. They are reproduced below for the purpose of monitoring progress:</w:t>
            </w:r>
          </w:p>
          <w:p>
            <w:pPr>
              <w:spacing w:after="80"/>
              <w:jc w:val="both"/>
            </w:pPr>
            <w:r>
              <w:rPr>
                <w:rFonts w:ascii="Calibri" w:hAnsi="Calibri"/>
                <w:b w:val="0"/>
                <w:i w:val="0"/>
                <w:color w:val="000000"/>
                <w:sz w:val="20"/>
              </w:rPr>
              <w:t>General objective: To design and develop a Virtual Reality experience for the emotional regulation of Secondary School students facing public speaking or interview situations, together with the telemetry architecture that captures and transmits the behavioural data to the AI team, which is responsible for classifying it and generating the insights that support the decision-making of the teacher or educational psychologist, during the second semester of 2026.</w:t>
            </w:r>
          </w:p>
          <w:p>
            <w:pPr>
              <w:spacing w:after="80"/>
              <w:jc w:val="both"/>
            </w:pPr>
            <w:r>
              <w:rPr>
                <w:rFonts w:ascii="Calibri" w:hAnsi="Calibri"/>
                <w:b w:val="0"/>
                <w:i w:val="0"/>
                <w:color w:val="000000"/>
                <w:sz w:val="20"/>
              </w:rPr>
              <w:t>Specific objectives:</w:t>
            </w:r>
          </w:p>
          <w:p>
            <w:pPr>
              <w:spacing w:after="80"/>
              <w:jc w:val="both"/>
            </w:pPr>
            <w:r>
              <w:rPr>
                <w:rFonts w:ascii="Calibri" w:hAnsi="Calibri"/>
                <w:b w:val="0"/>
                <w:i w:val="0"/>
                <w:color w:val="000000"/>
                <w:sz w:val="20"/>
              </w:rPr>
              <w:t>1. To design the immersive Virtual Reality experience for Secondary School students, including its scenarios, the guided breathing exercise and the gamified closing stage.</w:t>
            </w:r>
          </w:p>
          <w:p>
            <w:pPr>
              <w:spacing w:after="80"/>
              <w:jc w:val="both"/>
            </w:pPr>
            <w:r>
              <w:rPr>
                <w:rFonts w:ascii="Calibri" w:hAnsi="Calibri"/>
                <w:b w:val="0"/>
                <w:i w:val="0"/>
                <w:color w:val="000000"/>
                <w:sz w:val="20"/>
              </w:rPr>
              <w:t>2. To build the telemetry architecture that captures the behavioural data generated during the journey and transmits it through an API to the cloud for secure storage.</w:t>
            </w:r>
          </w:p>
          <w:p>
            <w:pPr>
              <w:spacing w:after="80"/>
              <w:jc w:val="both"/>
            </w:pPr>
            <w:r>
              <w:rPr>
                <w:rFonts w:ascii="Calibri" w:hAnsi="Calibri"/>
                <w:b w:val="0"/>
                <w:i w:val="0"/>
                <w:color w:val="000000"/>
                <w:sz w:val="20"/>
              </w:rPr>
              <w:t>3. To carry out field testing coordinated with the participating school, involving a minimum group of 20 students, 2 times per week for 1 month.</w:t>
            </w:r>
          </w:p>
          <w:p>
            <w:pPr>
              <w:spacing w:after="80"/>
              <w:jc w:val="both"/>
            </w:pPr>
            <w:r>
              <w:rPr>
                <w:rFonts w:ascii="Calibri" w:hAnsi="Calibri"/>
                <w:b w:val="0"/>
                <w:i w:val="0"/>
                <w:color w:val="000000"/>
                <w:sz w:val="20"/>
              </w:rPr>
              <w:t>4. To protect data privacy through anonymisation techniques and compliance with current regulations on confidential information concerning adolescent students.</w:t>
            </w:r>
          </w:p>
          <w:p>
            <w:pPr>
              <w:spacing w:after="80"/>
              <w:jc w:val="both"/>
            </w:pPr>
            <w:r>
              <w:rPr>
                <w:rFonts w:ascii="Calibri" w:hAnsi="Calibri"/>
                <w:b w:val="0"/>
                <w:i w:val="0"/>
                <w:color w:val="000000"/>
                <w:sz w:val="20"/>
              </w:rPr>
              <w:t>The only clarification introduced during this phase: the planning of specific objective 3 was extended from 3 to 4 weeks in the work plan, so that the planned duration is consistent with the committed frequency (2 sessions per week for 1 month). The objective, as originally formulated, does not change.</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Methodology</w:t>
            </w:r>
          </w:p>
        </w:tc>
        <w:tc>
          <w:tcPr>
            <w:tcW w:w="7111" w:type="dxa"/>
            <w:vAlign w:val="center"/>
          </w:tcPr>
          <w:p>
            <w:pPr>
              <w:spacing w:after="80"/>
              <w:jc w:val="both"/>
            </w:pPr>
            <w:r>
              <w:rPr>
                <w:rFonts w:ascii="Calibri" w:hAnsi="Calibri"/>
                <w:b w:val="0"/>
                <w:i w:val="0"/>
                <w:color w:val="000000"/>
                <w:sz w:val="20"/>
              </w:rPr>
              <w:t>The agile Kanban methodology is maintained, managed through a visual board on GitHub Projects with status columns (Backlog, To do, In progress and Done) and a weekly team review. The methodology remains appropriate because the project has interdependent stages and the field testing is conditioned by the availability of the educational institution, which makes fixed-length sprints inconvenient. The workflow is governed by two explicit team agreements: a definition of done, whereby a task only moves to Done once the change has been integrated into the main branch and verified in the corresponding environment —the headset for the experience, the cloud for the telemetry—; and the weekly review of the board as a fixed coordination event, in which the status of each issue is updated, bottlenecks are detected and the following week's tasks are reprioritised.</w:t>
            </w:r>
          </w:p>
          <w:p>
            <w:pPr>
              <w:spacing w:after="80"/>
              <w:jc w:val="both"/>
            </w:pPr>
            <w:r>
              <w:rPr>
                <w:rFonts w:ascii="Calibri" w:hAnsi="Calibri"/>
                <w:b w:val="0"/>
                <w:i w:val="0"/>
                <w:color w:val="000000"/>
                <w:sz w:val="20"/>
              </w:rPr>
              <w:t>During Phase 2 the following operational adjustments were introduced, which refine the methodology without modifying its approach:</w:t>
            </w:r>
          </w:p>
          <w:p>
            <w:pPr>
              <w:spacing w:after="80"/>
              <w:jc w:val="both"/>
            </w:pPr>
            <w:r>
              <w:rPr>
                <w:rFonts w:ascii="Calibri" w:hAnsi="Calibri"/>
                <w:b w:val="0"/>
                <w:i w:val="0"/>
                <w:color w:val="000000"/>
                <w:sz w:val="20"/>
              </w:rPr>
              <w:t>a) Migration of the working repository. The team moved its work to the CAPSTONE_EMOTIONLAB repository, which complies with the naming convention required by the course and hosts both the development and the APT documentation. The Kanban board was configured so that it spans the original repository and the new one, preserving the traceability of the tasks already created.</w:t>
            </w:r>
          </w:p>
          <w:p>
            <w:pPr>
              <w:spacing w:after="80"/>
              <w:jc w:val="both"/>
            </w:pPr>
            <w:r>
              <w:rPr>
                <w:rFonts w:ascii="Calibri" w:hAnsi="Calibri"/>
                <w:b w:val="0"/>
                <w:i w:val="0"/>
                <w:color w:val="000000"/>
                <w:sz w:val="20"/>
              </w:rPr>
              <w:t>b) Standardisation of the backlog. Tasks are recorded as issues with a common structure (description and expected result), with classification labels —among them two of the team's own labels, cliente and revisión-equipo— and with sub-issues linked to the parent issue whenever the task can be broken down. This makes it possible to measure progress by milestone and not only by isolated task.</w:t>
            </w:r>
          </w:p>
          <w:p>
            <w:pPr>
              <w:spacing w:after="80"/>
              <w:jc w:val="both"/>
            </w:pPr>
            <w:r>
              <w:rPr>
                <w:rFonts w:ascii="Calibri" w:hAnsi="Calibri"/>
                <w:b w:val="0"/>
                <w:i w:val="0"/>
                <w:color w:val="000000"/>
                <w:sz w:val="20"/>
              </w:rPr>
              <w:t>c) Branch-based work. Each team member works on her own branch and integrations are made into the main branch, which reduces version conflicts in a Unity project, where binary and scene files are sensitive to simultaneous editing.</w:t>
            </w:r>
          </w:p>
          <w:p>
            <w:pPr>
              <w:spacing w:after="80"/>
              <w:jc w:val="both"/>
            </w:pPr>
            <w:r>
              <w:rPr>
                <w:rFonts w:ascii="Calibri" w:hAnsi="Calibri"/>
                <w:b w:val="0"/>
                <w:i w:val="0"/>
                <w:color w:val="000000"/>
                <w:sz w:val="20"/>
              </w:rPr>
              <w:t>The roles defined in Phase 1 are maintained: Constanza Quiero, formal project documentation and management of the VR environment assets; Kathleen Ampuero, functional testing, bug fixing and generation of APK builds; Katalina Pérez, API integration and administration of the cloud environment. All three members take part across the board in testing the application and in the version control of the project.</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Evidence of progress</w:t>
            </w:r>
          </w:p>
        </w:tc>
        <w:tc>
          <w:tcPr>
            <w:tcW w:w="7111" w:type="dxa"/>
            <w:vAlign w:val="center"/>
          </w:tcPr>
          <w:p>
            <w:pPr>
              <w:spacing w:after="80"/>
              <w:jc w:val="both"/>
            </w:pPr>
            <w:r>
              <w:rPr>
                <w:rFonts w:ascii="Calibri" w:hAnsi="Calibri"/>
                <w:b w:val="0"/>
                <w:i w:val="0"/>
                <w:color w:val="000000"/>
                <w:sz w:val="20"/>
              </w:rPr>
              <w:t>The evidence of progress in this report consists of the seven items of progress evidence committed to and agreed with the instructor in the Phase 1 APT Project Definition. They remain unchanged and are reported below as the milestones of the project, stating the status of each one and the justification of why it accounts for the achievement of the activities of the work plan:</w:t>
            </w:r>
          </w:p>
          <w:p>
            <w:pPr>
              <w:spacing w:after="80"/>
              <w:jc w:val="both"/>
            </w:pPr>
            <w:r>
              <w:rPr>
                <w:rFonts w:ascii="Calibri" w:hAnsi="Calibri"/>
                <w:b w:val="0"/>
                <w:i w:val="0"/>
                <w:color w:val="000000"/>
                <w:sz w:val="20"/>
              </w:rPr>
              <w:t>1. Project Charter (completed). Formal document defining the scope, the objectives, the stakeholders and the constraints of the project. It accounts for the achievement of the activity “Project planning and definition” and establishes the common understanding between the team and the instructor, the baseline against which the product will be validated.</w:t>
            </w:r>
          </w:p>
          <w:p>
            <w:pPr>
              <w:spacing w:after="80"/>
              <w:jc w:val="both"/>
            </w:pPr>
            <w:r>
              <w:rPr>
                <w:rFonts w:ascii="Calibri" w:hAnsi="Calibri"/>
                <w:b w:val="0"/>
                <w:i w:val="0"/>
                <w:color w:val="000000"/>
                <w:sz w:val="20"/>
              </w:rPr>
              <w:t>2. Software Requirements Specification (SRS) (completed). Document containing the functional and non-functional requirements of the VR system. It evidences that the technical elicitation was carried out formally before development began and constitutes the criterion against which the application is tested.</w:t>
            </w:r>
          </w:p>
          <w:p>
            <w:pPr>
              <w:spacing w:after="80"/>
              <w:jc w:val="both"/>
            </w:pPr>
            <w:r>
              <w:rPr>
                <w:rFonts w:ascii="Calibri" w:hAnsi="Calibri"/>
                <w:b w:val="0"/>
                <w:i w:val="0"/>
                <w:color w:val="000000"/>
                <w:sz w:val="20"/>
              </w:rPr>
              <w:t>3. Letter of Commitment from the interested party (in progress). Document signed by the participating educational institution authorising the intervention. It accounts for the achievement of the activity “Coordination with the participating school” and is the enabling condition for the field testing. As of the date of this report, no institution has yet confirmed its participation: the contact material and the project presentation are already prepared and contact is being managed with more than one school in parallel so as not to depend on a single response.</w:t>
            </w:r>
          </w:p>
          <w:p>
            <w:pPr>
              <w:spacing w:after="80"/>
              <w:jc w:val="both"/>
            </w:pPr>
            <w:r>
              <w:rPr>
                <w:rFonts w:ascii="Calibri" w:hAnsi="Calibri"/>
                <w:b w:val="0"/>
                <w:i w:val="0"/>
                <w:color w:val="000000"/>
                <w:sz w:val="20"/>
              </w:rPr>
              <w:t>4. Functional VR prototype – APK build (milestone completed). First version installable on the Meta Quest headset, released as version v0.1.0, which makes it possible to go through the complete experience from beginning to end: waiting room, first presentation in a small room with a preceding guided breathing exercise, second presentation in an office with an audience, feedback stage with a guided breathing exercise and a brief self-report survey, and the closing duck-collecting mini-game. It accounts for the achievement of the activity “Design and implementation of the VR environment” and demonstrates the technical progress of the development prior to the field testing. It is an alpha version: the journey and the core functionality are complete and the visual polishing planned for the rest of the phase is still pending.</w:t>
            </w:r>
          </w:p>
          <w:p>
            <w:pPr>
              <w:spacing w:after="80"/>
              <w:jc w:val="both"/>
            </w:pPr>
            <w:r>
              <w:rPr>
                <w:rFonts w:ascii="Calibri" w:hAnsi="Calibri"/>
                <w:b w:val="0"/>
                <w:i w:val="0"/>
                <w:color w:val="000000"/>
                <w:sz w:val="20"/>
              </w:rPr>
              <w:t>5. Kanban board on GitHub Projects (in use, with history). Status of the tasks by column and movement history of the issues, recorded with a common structure and with sub-issues linked to the parent issue. It evidences the effective application of the declared methodology and the distribution of the work among the team members, and makes it possible to measure progress by milestone and not only by isolated task.</w:t>
            </w:r>
          </w:p>
          <w:p>
            <w:pPr>
              <w:spacing w:after="80"/>
              <w:jc w:val="both"/>
            </w:pPr>
            <w:r>
              <w:rPr>
                <w:rFonts w:ascii="Calibri" w:hAnsi="Calibri"/>
                <w:b w:val="0"/>
                <w:i w:val="0"/>
                <w:color w:val="000000"/>
                <w:sz w:val="20"/>
              </w:rPr>
              <w:t>6. Design of the VR experience (milestone completed). Document and visual material containing the final journey, the scenarios, the guided breathing exercise, the gamified closing stage and the visual identity. It is the central piece of evidence of our team's scope, since we are responsible for the design and development of the application, and it is what distinguishes this version from the previous one by redirecting the experience towards Secondary School students and incorporating gamification.</w:t>
            </w:r>
          </w:p>
          <w:p>
            <w:pPr>
              <w:spacing w:after="80"/>
              <w:jc w:val="both"/>
            </w:pPr>
            <w:r>
              <w:rPr>
                <w:rFonts w:ascii="Calibri" w:hAnsi="Calibri"/>
                <w:b w:val="0"/>
                <w:i w:val="0"/>
                <w:color w:val="000000"/>
                <w:sz w:val="20"/>
              </w:rPr>
              <w:t>7. Operational AWS services (milestone completed). Telemetry infrastructure deployed and documented: the application transmits the session data over HTTPS to Amazon API Gateway, which invokes AWS Lambda functions responsible for recording the information in Amazon S3, with the whole infrastructure declared in Terraform and accompanied by its architecture justification and its deployment guide. It accounts for the achievement of the activity “Construction of the data architecture” and corresponds to the milestone of leaving the architecture defined and the cloud accounts and services ready for the AI team to connect to, so that this connection does not condition our progress.</w:t>
            </w:r>
          </w:p>
          <w:p>
            <w:pPr>
              <w:spacing w:after="80"/>
              <w:jc w:val="both"/>
            </w:pPr>
            <w:r>
              <w:rPr>
                <w:rFonts w:ascii="Calibri" w:hAnsi="Calibri"/>
                <w:b w:val="0"/>
                <w:i w:val="0"/>
                <w:color w:val="000000"/>
                <w:sz w:val="20"/>
              </w:rPr>
              <w:t>Quality assurance. The quality of the project is safeguarded through practices proper to the discipline: version control and branch-based work on GitHub; progress management with the Kanban methodology and a weekly review; naming conventions and clean-up of the Unity asset library in order to maintain the traceability of the project; frequent testing of the builds on the headset to validate the immersive experience and compliance with the non-functional performance requirements; and the application of privacy safeguards by design, capturing anonymous session data only. The evidence listed above is attached in the Project Evidence folder of the team repository, organised into System Evidence and Documentation Evidence.</w:t>
            </w:r>
          </w:p>
        </w:tc>
      </w:tr>
    </w:tbl>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t xml:space="preserve">2. Work Plan Monitoring </w:t>
            </w:r>
            <w:r w:rsidRPr="00874D16">
              <w:rPr>
                <w:b/>
                <w:color w:val="1F3864" w:themeColor="accent1" w:themeShade="80"/>
                <w:sz w:val="28"/>
                <w:szCs w:val="28"/>
              </w:rPr>
            </w:r>
            <w:r>
              <w:rPr>
                <w:b/>
                <w:color w:val="1F3864" w:themeColor="accent1" w:themeShade="80"/>
                <w:sz w:val="28"/>
                <w:szCs w:val="28"/>
              </w:rPr>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Examine your work plan carefully, focusing especially on the progress status and adjustments columns.</w:t>
            </w:r>
            <w:r w:rsidR="00BE1024">
              <w:rPr>
                <w:rFonts w:ascii="Calibri" w:hAnsi="Calibri"/>
                <w:color w:val="1F3864" w:themeColor="accent1" w:themeShade="80"/>
              </w:rPr>
            </w:r>
            <w:r w:rsidRPr="00DA1615">
              <w:rPr>
                <w:rFonts w:ascii="Calibri" w:hAnsi="Calibri"/>
                <w:color w:val="1F3864" w:themeColor="accent1" w:themeShade="80"/>
              </w:rPr>
            </w:r>
          </w:p>
        </w:tc>
      </w:tr>
    </w:tbl>
    <w:p w14:paraId="5DABEEF6" w14:textId="59A60B1E" w:rsidR="0003309E" w:rsidRDefault="0003309E" w:rsidP="0003309E">
      <w:pPr>
        <w:spacing w:after="0" w:line="240" w:lineRule="auto"/>
        <w:rPr>
          <w:rFonts w:cs="Calibri Light"/>
          <w:color w:val="595959" w:themeColor="text1" w:themeTint="A6"/>
          <w:sz w:val="24"/>
          <w:szCs w:val="24"/>
          <w:lang w:val="es-ES"/>
        </w:rPr>
        <w:sectPr w:rsidR="0003309E" w:rsidRPr="0003309E">
          <w:headerReference w:type="default" r:id="rId10"/>
          <w:headerReference w:type="first" r:id="rId13"/>
          <w:headerReference w:type="even" r:id="rId14"/>
          <w:pgSz w:w="11906" w:h="16838"/>
          <w:pgMar w:top="1417" w:right="1701" w:bottom="1417" w:left="1701" w:header="708" w:footer="708" w:gutter="0"/>
          <w:cols w:space="708"/>
          <w:docGrid w:linePitch="360"/>
        </w:sectPr>
      </w:pPr>
    </w:p>
    <w:tbl>
      <w:tblPr>
        <w:tblStyle w:val="Tablaconcuadrcula"/>
        <w:tblW w:w="1483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00"/>
        <w:gridCol w:w="1600"/>
        <w:gridCol w:w="1900"/>
        <w:gridCol w:w="1500"/>
        <w:gridCol w:w="1250"/>
        <w:gridCol w:w="2600"/>
        <w:gridCol w:w="1150"/>
        <w:gridCol w:w="3338"/>
      </w:tblGrid>
      <w:tr w:rsidR="00FD5149" w:rsidRPr="006E3B0D" w14:paraId="66FA4353" w14:textId="77777777" w:rsidTr="00EA0C09">
        <w:trPr>
          <w:trHeight w:val="415"/>
          <w:tblHeader/>
        </w:trPr>
        <w:tc>
          <w:tcPr>
            <w:tcW w:w="1500"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Work Plan</w:t>
            </w:r>
          </w:p>
        </w:tc>
      </w:tr>
      <w:tr w:rsidR="00FD5149" w:rsidRPr="006E3B0D" w14:paraId="54BB210F" w14:textId="77777777" w:rsidTr="009552E5">
        <w:trPr>
          <w:trHeight w:val="711"/>
          <w:tblHeader/>
        </w:trPr>
        <w:tc>
          <w:tcPr>
            <w:tcW w:w="1500"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Competency or competency units</w:t>
            </w:r>
            <w:r w:rsidRPr="006E3B0D">
              <w:rPr>
                <w:rFonts w:ascii="Calibri" w:hAnsi="Calibri"/>
                <w:color w:val="1F3864" w:themeColor="accent1" w:themeShade="80"/>
                <w:sz w:val="18"/>
              </w:rPr>
            </w:r>
            <w:r>
              <w:rPr>
                <w:rFonts w:ascii="Calibri" w:hAnsi="Calibri"/>
                <w:color w:val="1F3864" w:themeColor="accent1" w:themeShade="80"/>
                <w:sz w:val="18"/>
              </w:rPr>
            </w:r>
          </w:p>
        </w:tc>
        <w:tc>
          <w:tcPr>
            <w:tcW w:w="1600"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Activities</w:t>
            </w:r>
          </w:p>
        </w:tc>
        <w:tc>
          <w:tcPr>
            <w:tcW w:w="1900"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Resources</w:t>
            </w:r>
          </w:p>
        </w:tc>
        <w:tc>
          <w:tcPr>
            <w:tcW w:w="1500"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Duration of the activity</w:t>
            </w:r>
          </w:p>
        </w:tc>
        <w:tc>
          <w:tcPr>
            <w:tcW w:w="1250"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Person responsible</w:t>
            </w:r>
            <w:r w:rsidRPr="006E3B0D">
              <w:rPr>
                <w:rStyle w:val="Refdenotaalpie"/>
                <w:rFonts w:ascii="Calibri" w:hAnsi="Calibri"/>
                <w:color w:val="1F3864" w:themeColor="accent1" w:themeShade="80"/>
                <w:sz w:val="18"/>
              </w:rPr>
            </w:r>
          </w:p>
        </w:tc>
        <w:tc>
          <w:tcPr>
            <w:tcW w:w="2600"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Observations</w:t>
            </w:r>
          </w:p>
        </w:tc>
        <w:tc>
          <w:tcPr>
            <w:tcW w:w="1150"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Progress status</w:t>
            </w:r>
          </w:p>
        </w:tc>
        <w:tc>
          <w:tcPr>
            <w:tcW w:w="3338"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Adjustments</w:t>
            </w:r>
            <w:r w:rsidRPr="006E3B0D">
              <w:rPr>
                <w:rFonts w:ascii="Calibri" w:hAnsi="Calibri"/>
                <w:color w:val="1F3864" w:themeColor="accent1" w:themeShade="80"/>
                <w:sz w:val="18"/>
              </w:rPr>
            </w:r>
          </w:p>
        </w:tc>
      </w:tr>
      <w:tr w:rsidR="00FD5149" w:rsidRPr="006E3B0D" w14:paraId="0D4FAAA2" w14:textId="77777777" w:rsidTr="00EA0C09">
        <w:trPr/>
        <w:tc>
          <w:tcPr>
            <w:tcW w:w="1500" w:type="dxa"/>
          </w:tcPr>
          <w:p w14:paraId="29F01B29" w14:textId="77777777" w:rsidR="00FD5149" w:rsidRPr="006E3B0D" w:rsidRDefault="00FD5149" w:rsidP="00FD5149">
            <w:pPr>
              <w:jc w:val="both"/>
              <w:rPr>
                <w:b/>
                <w:sz w:val="18"/>
                <w:szCs w:val="24"/>
              </w:rPr>
            </w:pPr>
            <w:r w:rsidRPr="006E3B0D">
              <w:rPr>
                <w:rFonts w:ascii="Calibri" w:hAnsi="Calibri" w:cs="Arial"/>
                <w:i/>
                <w:color w:val="548DD4"/>
                <w:sz w:val="18"/>
                <w:szCs w:val="20"/>
                <w:lang w:eastAsia="es-CL"/>
              </w:rPr>
              <w:t>Name the competencies or competency units related to the different activities required to develop the APT project.</w:t>
            </w:r>
            <w:r>
              <w:rPr>
                <w:rFonts w:ascii="Calibri" w:hAnsi="Calibri" w:cs="Arial"/>
                <w:i/>
                <w:color w:val="548DD4"/>
                <w:sz w:val="18"/>
                <w:szCs w:val="20"/>
                <w:lang w:eastAsia="es-CL"/>
              </w:rPr>
            </w:r>
            <w:r w:rsidRPr="006E3B0D">
              <w:rPr>
                <w:rFonts w:ascii="Calibri" w:hAnsi="Calibri" w:cs="Arial"/>
                <w:i/>
                <w:color w:val="548DD4"/>
                <w:sz w:val="18"/>
                <w:szCs w:val="20"/>
                <w:lang w:eastAsia="es-CL"/>
              </w:rPr>
            </w:r>
            <w:r>
              <w:rPr>
                <w:rFonts w:ascii="Calibri" w:hAnsi="Calibri" w:cs="Arial"/>
                <w:i/>
                <w:color w:val="548DD4"/>
                <w:sz w:val="18"/>
                <w:szCs w:val="20"/>
                <w:lang w:eastAsia="es-CL"/>
              </w:rPr>
            </w:r>
            <w:r w:rsidRPr="006E3B0D">
              <w:rPr>
                <w:rFonts w:ascii="Calibri" w:hAnsi="Calibri" w:cs="Arial"/>
                <w:i/>
                <w:color w:val="548DD4"/>
                <w:sz w:val="18"/>
                <w:szCs w:val="20"/>
                <w:lang w:eastAsia="es-CL"/>
              </w:rPr>
            </w:r>
          </w:p>
        </w:tc>
        <w:tc>
          <w:tcPr>
            <w:tcW w:w="1600" w:type="dxa"/>
          </w:tcPr>
          <w:p w14:paraId="7B4EBE25"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Name the activities needed to develop the APT project. </w:t>
            </w:r>
            <w:r w:rsidRPr="006E3B0D">
              <w:rPr>
                <w:rFonts w:ascii="Calibri" w:hAnsi="Calibri" w:cs="Arial"/>
                <w:i/>
                <w:color w:val="548DD4"/>
                <w:sz w:val="18"/>
                <w:szCs w:val="20"/>
                <w:lang w:eastAsia="es-CL"/>
              </w:rPr>
            </w:r>
            <w:r>
              <w:rPr>
                <w:rFonts w:ascii="Calibri" w:hAnsi="Calibri" w:cs="Arial"/>
                <w:i/>
                <w:color w:val="548DD4"/>
                <w:sz w:val="18"/>
                <w:szCs w:val="20"/>
                <w:lang w:eastAsia="es-CL"/>
              </w:rPr>
            </w:r>
            <w:r w:rsidRPr="006E3B0D">
              <w:rPr>
                <w:rFonts w:ascii="Calibri" w:hAnsi="Calibri" w:cs="Arial"/>
                <w:i/>
                <w:color w:val="548DD4"/>
                <w:sz w:val="18"/>
                <w:szCs w:val="20"/>
                <w:lang w:eastAsia="es-CL"/>
              </w:rPr>
            </w:r>
            <w:r>
              <w:rPr>
                <w:rFonts w:ascii="Calibri" w:hAnsi="Calibri" w:cs="Arial"/>
                <w:i/>
                <w:color w:val="548DD4"/>
                <w:sz w:val="18"/>
                <w:szCs w:val="20"/>
                <w:lang w:eastAsia="es-CL"/>
              </w:rPr>
            </w:r>
          </w:p>
        </w:tc>
        <w:tc>
          <w:tcPr>
            <w:tcW w:w="1900" w:type="dxa"/>
          </w:tcPr>
          <w:p w14:paraId="16E191DF" w14:textId="77777777" w:rsidR="00FD5149" w:rsidRPr="006E3B0D" w:rsidRDefault="00FD5149" w:rsidP="00FD5149">
            <w:pPr>
              <w:jc w:val="both"/>
              <w:rPr>
                <w:b/>
                <w:sz w:val="18"/>
                <w:szCs w:val="24"/>
              </w:rPr>
            </w:pPr>
            <w:r w:rsidRPr="006E3B0D">
              <w:rPr>
                <w:rFonts w:ascii="Calibri" w:hAnsi="Calibri" w:cs="Arial"/>
                <w:i/>
                <w:color w:val="548DD4"/>
                <w:sz w:val="18"/>
                <w:szCs w:val="20"/>
                <w:lang w:eastAsia="es-CL"/>
              </w:rPr>
              <w:t>Name the resources needed to carry out the activities defined.</w:t>
            </w:r>
            <w:r>
              <w:rPr>
                <w:rFonts w:ascii="Calibri" w:hAnsi="Calibri" w:cs="Arial"/>
                <w:i/>
                <w:color w:val="548DD4"/>
                <w:sz w:val="18"/>
                <w:szCs w:val="20"/>
                <w:lang w:eastAsia="es-CL"/>
              </w:rPr>
            </w:r>
            <w:r w:rsidRPr="006E3B0D">
              <w:rPr>
                <w:rFonts w:ascii="Calibri" w:hAnsi="Calibri" w:cs="Arial"/>
                <w:i/>
                <w:color w:val="548DD4"/>
                <w:sz w:val="18"/>
                <w:szCs w:val="20"/>
                <w:lang w:eastAsia="es-CL"/>
              </w:rPr>
            </w:r>
          </w:p>
        </w:tc>
        <w:tc>
          <w:tcPr>
            <w:tcW w:w="1500" w:type="dxa"/>
          </w:tcPr>
          <w:p w14:paraId="66A5D860" w14:textId="77777777" w:rsidR="00FD5149" w:rsidRPr="006E3B0D" w:rsidRDefault="00FD5149" w:rsidP="00FD5149">
            <w:pPr>
              <w:jc w:val="both"/>
              <w:rPr>
                <w:b/>
                <w:sz w:val="18"/>
                <w:szCs w:val="24"/>
              </w:rPr>
            </w:pPr>
            <w:r>
              <w:rPr>
                <w:rFonts w:ascii="Calibri" w:hAnsi="Calibri" w:cs="Arial"/>
                <w:i/>
                <w:color w:val="548DD4"/>
                <w:sz w:val="18"/>
                <w:szCs w:val="20"/>
                <w:lang w:eastAsia="es-CL"/>
              </w:rPr>
              <w:t xml:space="preserve">State the duration of each activity. </w:t>
            </w:r>
            <w:r w:rsidRPr="006E3B0D">
              <w:rPr>
                <w:rFonts w:ascii="Calibri" w:hAnsi="Calibri" w:cs="Arial"/>
                <w:i/>
                <w:color w:val="548DD4"/>
                <w:sz w:val="18"/>
                <w:szCs w:val="20"/>
                <w:lang w:eastAsia="es-CL"/>
              </w:rPr>
            </w:r>
            <w:r>
              <w:rPr>
                <w:rFonts w:ascii="Calibri" w:hAnsi="Calibri" w:cs="Arial"/>
                <w:i/>
                <w:color w:val="548DD4"/>
                <w:sz w:val="18"/>
                <w:szCs w:val="20"/>
                <w:lang w:eastAsia="es-CL"/>
              </w:rPr>
            </w:r>
            <w:r w:rsidRPr="006E3B0D">
              <w:rPr>
                <w:rFonts w:ascii="Calibri" w:hAnsi="Calibri" w:cs="Arial"/>
                <w:i/>
                <w:color w:val="548DD4"/>
                <w:sz w:val="18"/>
                <w:szCs w:val="20"/>
                <w:lang w:eastAsia="es-CL"/>
              </w:rPr>
            </w:r>
            <w:r>
              <w:rPr>
                <w:rFonts w:ascii="Calibri" w:hAnsi="Calibri" w:cs="Arial"/>
                <w:i/>
                <w:color w:val="548DD4"/>
                <w:sz w:val="18"/>
                <w:szCs w:val="20"/>
                <w:lang w:eastAsia="es-CL"/>
              </w:rPr>
            </w:r>
          </w:p>
        </w:tc>
        <w:tc>
          <w:tcPr>
            <w:tcW w:w="1250" w:type="dxa"/>
          </w:tcPr>
          <w:p w14:paraId="036AB5D8"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Write the name of the team member responsible for each activity.</w:t>
            </w:r>
            <w:r w:rsidRPr="006E3B0D">
              <w:rPr>
                <w:rFonts w:ascii="Calibri" w:hAnsi="Calibri" w:cs="Arial"/>
                <w:i/>
                <w:color w:val="548DD4"/>
                <w:sz w:val="18"/>
                <w:szCs w:val="20"/>
                <w:lang w:eastAsia="es-CL"/>
              </w:rPr>
            </w:r>
            <w:r>
              <w:rPr>
                <w:rFonts w:ascii="Calibri" w:hAnsi="Calibri" w:cs="Arial"/>
                <w:i/>
                <w:color w:val="548DD4"/>
                <w:sz w:val="18"/>
                <w:szCs w:val="20"/>
                <w:lang w:eastAsia="es-CL"/>
              </w:rPr>
            </w:r>
            <w:r w:rsidRPr="006E3B0D">
              <w:rPr>
                <w:rFonts w:ascii="Calibri" w:hAnsi="Calibri" w:cs="Arial"/>
                <w:i/>
                <w:color w:val="548DD4"/>
                <w:sz w:val="18"/>
                <w:szCs w:val="20"/>
                <w:lang w:eastAsia="es-CL"/>
              </w:rPr>
            </w:r>
          </w:p>
        </w:tc>
        <w:tc>
          <w:tcPr>
            <w:tcW w:w="2600" w:type="dxa"/>
          </w:tcPr>
          <w:p w14:paraId="2FCEC037"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State the difficulties or enabling factors that could arise during the execution of each of the proposed activities.</w:t>
            </w:r>
            <w:r w:rsidRPr="006E3B0D">
              <w:rPr>
                <w:rFonts w:ascii="Calibri" w:hAnsi="Calibri" w:cs="Arial"/>
                <w:i/>
                <w:color w:val="548DD4"/>
                <w:sz w:val="18"/>
                <w:szCs w:val="20"/>
                <w:lang w:eastAsia="es-CL"/>
              </w:rPr>
            </w:r>
            <w:r w:rsidRPr="00E54467">
              <w:rPr>
                <w:rFonts w:ascii="Calibri" w:hAnsi="Calibri" w:cs="Arial"/>
                <w:i/>
                <w:color w:val="548DD4"/>
                <w:sz w:val="18"/>
                <w:szCs w:val="20"/>
                <w:lang w:eastAsia="es-CL"/>
              </w:rPr>
            </w:r>
            <w:r w:rsidRPr="006E3B0D">
              <w:rPr>
                <w:rFonts w:ascii="Calibri" w:hAnsi="Calibri" w:cs="Arial"/>
                <w:i/>
                <w:color w:val="548DD4"/>
                <w:sz w:val="18"/>
                <w:szCs w:val="20"/>
                <w:lang w:eastAsia="es-CL"/>
              </w:rPr>
            </w:r>
          </w:p>
        </w:tc>
        <w:tc>
          <w:tcPr>
            <w:tcW w:w="1150" w:type="dxa"/>
          </w:tcPr>
          <w:p w14:paraId="29B0BFEB" w14:textId="77777777" w:rsidR="00FD5149" w:rsidRPr="00E54467" w:rsidRDefault="00FD5149" w:rsidP="00FD5149">
            <w:pPr>
              <w:jc w:val="both"/>
              <w:rPr>
                <w:rFonts w:ascii="Calibri" w:hAnsi="Calibri" w:cs="Arial"/>
                <w:i/>
                <w:color w:val="548DD4"/>
                <w:sz w:val="18"/>
                <w:szCs w:val="20"/>
                <w:lang w:eastAsia="es-CL"/>
              </w:rPr>
            </w:pPr>
            <w:r w:rsidRPr="00E54467">
              <w:rPr>
                <w:rFonts w:ascii="Calibri" w:hAnsi="Calibri" w:cs="Arial"/>
                <w:i/>
                <w:color w:val="548DD4"/>
                <w:sz w:val="18"/>
                <w:szCs w:val="20"/>
                <w:lang w:eastAsia="es-CL"/>
              </w:rPr>
              <w:t>Describe the progress status of each activity.</w:t>
            </w:r>
            <w:r>
              <w:rPr>
                <w:rFonts w:ascii="Calibri" w:hAnsi="Calibri" w:cs="Arial"/>
                <w:i/>
                <w:color w:val="548DD4"/>
                <w:sz w:val="18"/>
                <w:szCs w:val="20"/>
                <w:lang w:eastAsia="es-CL"/>
              </w:rPr>
            </w:r>
            <w:r w:rsidRPr="00E54467">
              <w:rPr>
                <w:rFonts w:ascii="Calibri" w:hAnsi="Calibri" w:cs="Arial"/>
                <w:i/>
                <w:color w:val="548DD4"/>
                <w:sz w:val="18"/>
                <w:szCs w:val="20"/>
                <w:lang w:eastAsia="es-CL"/>
              </w:rPr>
            </w:r>
            <w:r>
              <w:rPr>
                <w:rFonts w:ascii="Calibri" w:hAnsi="Calibri" w:cs="Arial"/>
                <w:i/>
                <w:color w:val="548DD4"/>
                <w:sz w:val="18"/>
                <w:szCs w:val="20"/>
                <w:lang w:eastAsia="es-CL"/>
              </w:rPr>
            </w:r>
          </w:p>
          <w:p w14:paraId="7CBF6E36" w14:textId="77777777" w:rsidR="00FD5149" w:rsidRPr="00E54467" w:rsidRDefault="00FD5149" w:rsidP="00FD5149">
            <w:pPr>
              <w:jc w:val="both"/>
              <w:rPr>
                <w:rFonts w:ascii="Calibri" w:hAnsi="Calibri" w:cs="Arial"/>
                <w:i/>
                <w:color w:val="C00000"/>
                <w:sz w:val="16"/>
                <w:szCs w:val="20"/>
                <w:lang w:eastAsia="es-CL"/>
              </w:rPr>
            </w:pPr>
          </w:p>
          <w:p w14:paraId="6D3B922B" w14:textId="77777777" w:rsidR="00FD5149" w:rsidRPr="00CA29F2" w:rsidRDefault="00FD5149" w:rsidP="00FD5149">
            <w:pPr>
              <w:jc w:val="both"/>
              <w:rPr>
                <w:rFonts w:ascii="Calibri" w:hAnsi="Calibri" w:cs="Arial"/>
                <w:i/>
                <w:color w:val="548DD4"/>
                <w:sz w:val="18"/>
                <w:szCs w:val="20"/>
                <w:lang w:eastAsia="es-CL"/>
              </w:rPr>
            </w:pPr>
            <w:r w:rsidRPr="00CA29F2">
              <w:rPr>
                <w:rFonts w:ascii="Calibri" w:hAnsi="Calibri" w:cs="Arial"/>
                <w:i/>
                <w:color w:val="548DD4"/>
                <w:sz w:val="18"/>
                <w:szCs w:val="20"/>
                <w:lang w:eastAsia="es-CL"/>
              </w:rPr>
              <w:t xml:space="preserve">Status types: </w:t>
            </w:r>
          </w:p>
          <w:p w14:paraId="2163602D" w14:textId="77777777" w:rsidR="00FD5149" w:rsidRPr="00E54467" w:rsidRDefault="00FD5149" w:rsidP="00FD5149">
            <w:pPr>
              <w:jc w:val="both"/>
              <w:rPr>
                <w:rFonts w:ascii="Calibri" w:hAnsi="Calibri" w:cs="Arial"/>
                <w:i/>
                <w:color w:val="C00000"/>
                <w:sz w:val="16"/>
                <w:szCs w:val="20"/>
                <w:lang w:eastAsia="es-CL"/>
              </w:rPr>
            </w:pPr>
            <w:r w:rsidRPr="00CA29F2">
              <w:rPr>
                <w:rFonts w:ascii="Calibri" w:hAnsi="Calibri" w:cs="Arial"/>
                <w:i/>
                <w:color w:val="548DD4"/>
                <w:sz w:val="18"/>
                <w:szCs w:val="20"/>
                <w:lang w:eastAsia="es-CL"/>
              </w:rPr>
              <w:t xml:space="preserve">In progress/ Delayed/ Not started/ Completed/ Adjusted </w:t>
            </w:r>
            <w:r>
              <w:rPr>
                <w:rFonts w:ascii="Calibri" w:hAnsi="Calibri" w:cs="Arial"/>
                <w:i/>
                <w:color w:val="C00000"/>
                <w:sz w:val="16"/>
                <w:szCs w:val="20"/>
                <w:lang w:eastAsia="es-CL"/>
              </w:rPr>
            </w:r>
          </w:p>
        </w:tc>
        <w:tc>
          <w:tcPr>
            <w:tcW w:w="3338" w:type="dxa"/>
          </w:tcPr>
          <w:p w14:paraId="7C6D6F31" w14:textId="77777777" w:rsidR="00FD5149" w:rsidRPr="006E3B0D" w:rsidRDefault="00FD514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State the adjustments or reformulations you have made. </w:t>
            </w:r>
            <w:r w:rsidRPr="006E3B0D">
              <w:rPr>
                <w:rFonts w:ascii="Calibri" w:hAnsi="Calibri" w:cs="Arial"/>
                <w:i/>
                <w:color w:val="548DD4"/>
                <w:sz w:val="18"/>
                <w:szCs w:val="20"/>
                <w:lang w:eastAsia="es-CL"/>
              </w:rPr>
            </w:r>
            <w:r>
              <w:rPr>
                <w:rFonts w:ascii="Calibri" w:hAnsi="Calibri" w:cs="Arial"/>
                <w:i/>
                <w:color w:val="548DD4"/>
                <w:sz w:val="18"/>
                <w:szCs w:val="20"/>
                <w:lang w:eastAsia="es-CL"/>
              </w:rPr>
            </w:r>
            <w:r w:rsidRPr="006E3B0D">
              <w:rPr>
                <w:rFonts w:ascii="Calibri" w:hAnsi="Calibri" w:cs="Arial"/>
                <w:i/>
                <w:color w:val="548DD4"/>
                <w:sz w:val="18"/>
                <w:szCs w:val="20"/>
                <w:lang w:eastAsia="es-CL"/>
              </w:rPr>
            </w:r>
            <w:r>
              <w:rPr>
                <w:rFonts w:ascii="Calibri" w:hAnsi="Calibri" w:cs="Arial"/>
                <w:i/>
                <w:color w:val="548DD4"/>
                <w:sz w:val="18"/>
                <w:szCs w:val="20"/>
                <w:lang w:eastAsia="es-CL"/>
              </w:rPr>
            </w:r>
          </w:p>
        </w:tc>
      </w:tr>
      <w:tr w:rsidR="00FD5149" w:rsidRPr="006E3B0D" w14:paraId="0D4FAAA2" w14:textId="77777777" w:rsidTr="00EA0C09">
        <w:trPr/>
        <w:tc>
          <w:tcPr>
            <w:tcW w:w="1500" w:type="dxa"/>
          </w:tcPr>
          <w:p>
            <w:pPr>
              <w:spacing w:after="80"/>
            </w:pPr>
            <w:r>
              <w:rPr>
                <w:rFonts w:ascii="Calibri" w:hAnsi="Calibri"/>
                <w:b w:val="0"/>
                <w:i w:val="0"/>
                <w:color w:val="000000"/>
                <w:sz w:val="18"/>
              </w:rPr>
              <w:t>IT Project Management</w:t>
            </w:r>
          </w:p>
        </w:tc>
        <w:tc>
          <w:tcPr>
            <w:tcW w:w="1600" w:type="dxa"/>
          </w:tcPr>
          <w:p>
            <w:pPr>
              <w:spacing w:after="80"/>
            </w:pPr>
            <w:r>
              <w:rPr>
                <w:rFonts w:ascii="Calibri" w:hAnsi="Calibri"/>
                <w:b w:val="0"/>
                <w:i w:val="0"/>
                <w:color w:val="000000"/>
                <w:sz w:val="18"/>
              </w:rPr>
              <w:t>Project planning and definition</w:t>
            </w:r>
          </w:p>
        </w:tc>
        <w:tc>
          <w:tcPr>
            <w:tcW w:w="1900" w:type="dxa"/>
          </w:tcPr>
          <w:p>
            <w:pPr>
              <w:spacing w:after="80"/>
            </w:pPr>
            <w:r>
              <w:rPr>
                <w:rFonts w:ascii="Calibri" w:hAnsi="Calibri"/>
                <w:b w:val="0"/>
                <w:i w:val="0"/>
                <w:color w:val="000000"/>
                <w:sz w:val="18"/>
              </w:rPr>
              <w:t>Duoc UC documentation, team meetings, GitHub Projects</w:t>
            </w:r>
          </w:p>
        </w:tc>
        <w:tc>
          <w:tcPr>
            <w:tcW w:w="1500" w:type="dxa"/>
          </w:tcPr>
          <w:p>
            <w:pPr>
              <w:spacing w:after="80"/>
            </w:pPr>
            <w:r>
              <w:rPr>
                <w:rFonts w:ascii="Calibri" w:hAnsi="Calibri"/>
                <w:b w:val="0"/>
                <w:i w:val="0"/>
                <w:color w:val="000000"/>
                <w:sz w:val="18"/>
              </w:rPr>
              <w:t>4 weeks (W1 – W4: 10-Aug to 06-Sep)</w:t>
            </w:r>
          </w:p>
        </w:tc>
        <w:tc>
          <w:tcPr>
            <w:tcW w:w="1250" w:type="dxa"/>
          </w:tcPr>
          <w:p>
            <w:pPr>
              <w:spacing w:after="80"/>
            </w:pPr>
            <w:r>
              <w:rPr>
                <w:rFonts w:ascii="Calibri" w:hAnsi="Calibri"/>
                <w:b w:val="0"/>
                <w:i w:val="0"/>
                <w:color w:val="000000"/>
                <w:sz w:val="18"/>
              </w:rPr>
              <w:t>Constanza Quiero</w:t>
            </w:r>
          </w:p>
        </w:tc>
        <w:tc>
          <w:tcPr>
            <w:tcW w:w="2600" w:type="dxa"/>
          </w:tcPr>
          <w:p>
            <w:pPr>
              <w:spacing w:after="80"/>
            </w:pPr>
            <w:r>
              <w:rPr>
                <w:rFonts w:ascii="Calibri" w:hAnsi="Calibri"/>
                <w:b w:val="0"/>
                <w:i w:val="0"/>
                <w:color w:val="000000"/>
                <w:sz w:val="18"/>
              </w:rPr>
              <w:t>Enabling factor: the team coordinated in good time during the first weeks and the project is a continuity project, which sped up the definition of the scope.</w:t>
            </w:r>
          </w:p>
        </w:tc>
        <w:tc>
          <w:tcPr>
            <w:tcW w:w="1150" w:type="dxa"/>
          </w:tcPr>
          <w:p>
            <w:pPr>
              <w:spacing w:after="80"/>
            </w:pPr>
            <w:r>
              <w:rPr>
                <w:rFonts w:ascii="Calibri" w:hAnsi="Calibri"/>
                <w:b w:val="0"/>
                <w:i w:val="0"/>
                <w:color w:val="000000"/>
                <w:sz w:val="18"/>
              </w:rPr>
              <w:t>Completed</w:t>
            </w:r>
          </w:p>
        </w:tc>
        <w:tc>
          <w:tcPr>
            <w:tcW w:w="3338" w:type="dxa"/>
          </w:tcPr>
          <w:p>
            <w:pPr>
              <w:spacing w:after="80"/>
            </w:pPr>
            <w:r>
              <w:rPr>
                <w:rFonts w:ascii="Calibri" w:hAnsi="Calibri"/>
                <w:b w:val="0"/>
                <w:i w:val="0"/>
                <w:color w:val="000000"/>
                <w:sz w:val="18"/>
              </w:rPr>
              <w:t>No adjustments. The instructor's corrections were incorporated into the documentation submitted.</w:t>
            </w:r>
          </w:p>
        </w:tc>
      </w:tr>
      <w:tr w:rsidR="00FD5149" w:rsidRPr="006E3B0D" w14:paraId="0D4FAAA2" w14:textId="77777777" w:rsidTr="00EA0C09">
        <w:trPr/>
        <w:tc>
          <w:tcPr>
            <w:tcW w:w="1500" w:type="dxa"/>
          </w:tcPr>
          <w:p>
            <w:pPr>
              <w:spacing w:after="80"/>
            </w:pPr>
            <w:r>
              <w:rPr>
                <w:rFonts w:ascii="Calibri" w:hAnsi="Calibri"/>
                <w:b w:val="0"/>
                <w:i w:val="0"/>
                <w:color w:val="000000"/>
                <w:sz w:val="18"/>
              </w:rPr>
              <w:t>Development of Technological Solutions</w:t>
            </w:r>
          </w:p>
        </w:tc>
        <w:tc>
          <w:tcPr>
            <w:tcW w:w="1600" w:type="dxa"/>
          </w:tcPr>
          <w:p>
            <w:pPr>
              <w:spacing w:after="80"/>
            </w:pPr>
            <w:r>
              <w:rPr>
                <w:rFonts w:ascii="Calibri" w:hAnsi="Calibri"/>
                <w:b w:val="0"/>
                <w:i w:val="0"/>
                <w:color w:val="000000"/>
                <w:sz w:val="18"/>
              </w:rPr>
              <w:t>Design and implementation of the VR environment</w:t>
            </w:r>
          </w:p>
        </w:tc>
        <w:tc>
          <w:tcPr>
            <w:tcW w:w="1900" w:type="dxa"/>
          </w:tcPr>
          <w:p>
            <w:pPr>
              <w:spacing w:after="80"/>
            </w:pPr>
            <w:r>
              <w:rPr>
                <w:rFonts w:ascii="Calibri" w:hAnsi="Calibri"/>
                <w:b w:val="0"/>
                <w:i w:val="0"/>
                <w:color w:val="000000"/>
                <w:sz w:val="18"/>
              </w:rPr>
              <w:t>Computer equipment, Unity (URP), Meta Quest headset</w:t>
            </w:r>
          </w:p>
        </w:tc>
        <w:tc>
          <w:tcPr>
            <w:tcW w:w="1500" w:type="dxa"/>
          </w:tcPr>
          <w:p>
            <w:pPr>
              <w:spacing w:after="80"/>
            </w:pPr>
            <w:r>
              <w:rPr>
                <w:rFonts w:ascii="Calibri" w:hAnsi="Calibri"/>
                <w:b w:val="0"/>
                <w:i w:val="0"/>
                <w:color w:val="000000"/>
                <w:sz w:val="18"/>
              </w:rPr>
              <w:t>5 weeks (W5 – W9: 07-Sep to 11-Oct)</w:t>
            </w:r>
          </w:p>
        </w:tc>
        <w:tc>
          <w:tcPr>
            <w:tcW w:w="1250" w:type="dxa"/>
          </w:tcPr>
          <w:p>
            <w:pPr>
              <w:spacing w:after="80"/>
            </w:pPr>
            <w:r>
              <w:rPr>
                <w:rFonts w:ascii="Calibri" w:hAnsi="Calibri"/>
                <w:b w:val="0"/>
                <w:i w:val="0"/>
                <w:color w:val="000000"/>
                <w:sz w:val="18"/>
              </w:rPr>
              <w:t>Kathleen Ampuero</w:t>
            </w:r>
          </w:p>
        </w:tc>
        <w:tc>
          <w:tcPr>
            <w:tcW w:w="2600" w:type="dxa"/>
          </w:tcPr>
          <w:p>
            <w:pPr>
              <w:spacing w:after="80"/>
            </w:pPr>
            <w:r>
              <w:rPr>
                <w:rFonts w:ascii="Calibri" w:hAnsi="Calibri"/>
                <w:b w:val="0"/>
                <w:i w:val="0"/>
                <w:color w:val="000000"/>
                <w:sz w:val="18"/>
              </w:rPr>
              <w:t>Requires frequent testing on the headset to validate the immersive experience and performance.</w:t>
            </w:r>
          </w:p>
        </w:tc>
        <w:tc>
          <w:tcPr>
            <w:tcW w:w="1150" w:type="dxa"/>
          </w:tcPr>
          <w:p>
            <w:pPr>
              <w:spacing w:after="80"/>
            </w:pPr>
            <w:r>
              <w:rPr>
                <w:rFonts w:ascii="Calibri" w:hAnsi="Calibri"/>
                <w:b w:val="0"/>
                <w:i w:val="0"/>
                <w:color w:val="000000"/>
                <w:sz w:val="18"/>
              </w:rPr>
              <w:t>In progress</w:t>
            </w:r>
          </w:p>
        </w:tc>
        <w:tc>
          <w:tcPr>
            <w:tcW w:w="3338" w:type="dxa"/>
          </w:tcPr>
          <w:p>
            <w:pPr>
              <w:spacing w:after="80"/>
            </w:pPr>
            <w:r>
              <w:rPr>
                <w:rFonts w:ascii="Calibri" w:hAnsi="Calibri"/>
                <w:b w:val="0"/>
                <w:i w:val="0"/>
                <w:color w:val="000000"/>
                <w:sz w:val="18"/>
              </w:rPr>
              <w:t>The duck-collecting mini-game was incorporated as a gamified closing scene, an adjustment derived from the reorientation of the experience towards Secondary School students.</w:t>
            </w:r>
          </w:p>
        </w:tc>
      </w:tr>
      <w:tr w:rsidR="00FD5149" w:rsidRPr="006E3B0D" w14:paraId="0D4FAAA2" w14:textId="77777777" w:rsidTr="00EA0C09">
        <w:trPr/>
        <w:tc>
          <w:tcPr>
            <w:tcW w:w="1500" w:type="dxa"/>
          </w:tcPr>
          <w:p>
            <w:pPr>
              <w:spacing w:after="80"/>
            </w:pPr>
            <w:r>
              <w:rPr>
                <w:rFonts w:ascii="Calibri" w:hAnsi="Calibri"/>
                <w:b w:val="0"/>
                <w:i w:val="0"/>
                <w:color w:val="000000"/>
                <w:sz w:val="18"/>
              </w:rPr>
              <w:t>Information Architecture and Management</w:t>
            </w:r>
          </w:p>
        </w:tc>
        <w:tc>
          <w:tcPr>
            <w:tcW w:w="1600" w:type="dxa"/>
          </w:tcPr>
          <w:p>
            <w:pPr>
              <w:spacing w:after="80"/>
            </w:pPr>
            <w:r>
              <w:rPr>
                <w:rFonts w:ascii="Calibri" w:hAnsi="Calibri"/>
                <w:b w:val="0"/>
                <w:i w:val="0"/>
                <w:color w:val="000000"/>
                <w:sz w:val="18"/>
              </w:rPr>
              <w:t>Construction of the data architecture</w:t>
            </w:r>
          </w:p>
        </w:tc>
        <w:tc>
          <w:tcPr>
            <w:tcW w:w="1900" w:type="dxa"/>
          </w:tcPr>
          <w:p>
            <w:pPr>
              <w:spacing w:after="80"/>
            </w:pPr>
            <w:r>
              <w:rPr>
                <w:rFonts w:ascii="Calibri" w:hAnsi="Calibri"/>
                <w:b w:val="0"/>
                <w:i w:val="0"/>
                <w:color w:val="000000"/>
                <w:sz w:val="18"/>
              </w:rPr>
              <w:t>AWS account and services (API Gateway, Lambda, S3), Terraform, technical documentation</w:t>
            </w:r>
          </w:p>
        </w:tc>
        <w:tc>
          <w:tcPr>
            <w:tcW w:w="1500" w:type="dxa"/>
          </w:tcPr>
          <w:p>
            <w:pPr>
              <w:spacing w:after="80"/>
            </w:pPr>
            <w:r>
              <w:rPr>
                <w:rFonts w:ascii="Calibri" w:hAnsi="Calibri"/>
                <w:b w:val="0"/>
                <w:i w:val="0"/>
                <w:color w:val="000000"/>
                <w:sz w:val="18"/>
              </w:rPr>
              <w:t>4 weeks (W5 – W8: 07-Sep to 04-Oct)</w:t>
            </w:r>
          </w:p>
        </w:tc>
        <w:tc>
          <w:tcPr>
            <w:tcW w:w="1250" w:type="dxa"/>
          </w:tcPr>
          <w:p>
            <w:pPr>
              <w:spacing w:after="80"/>
            </w:pPr>
            <w:r>
              <w:rPr>
                <w:rFonts w:ascii="Calibri" w:hAnsi="Calibri"/>
                <w:b w:val="0"/>
                <w:i w:val="0"/>
                <w:color w:val="000000"/>
                <w:sz w:val="18"/>
              </w:rPr>
              <w:t>Katalina Pérez</w:t>
            </w:r>
          </w:p>
        </w:tc>
        <w:tc>
          <w:tcPr>
            <w:tcW w:w="2600" w:type="dxa"/>
          </w:tcPr>
          <w:p>
            <w:pPr>
              <w:spacing w:after="80"/>
            </w:pPr>
            <w:r>
              <w:rPr>
                <w:rFonts w:ascii="Calibri" w:hAnsi="Calibri"/>
                <w:b w:val="0"/>
                <w:i w:val="0"/>
                <w:color w:val="000000"/>
                <w:sz w:val="18"/>
              </w:rPr>
              <w:t>The quality of the captured data depends on correct labelling from the VR environment.</w:t>
            </w:r>
          </w:p>
        </w:tc>
        <w:tc>
          <w:tcPr>
            <w:tcW w:w="1150" w:type="dxa"/>
          </w:tcPr>
          <w:p>
            <w:pPr>
              <w:spacing w:after="80"/>
            </w:pPr>
            <w:r>
              <w:rPr>
                <w:rFonts w:ascii="Calibri" w:hAnsi="Calibri"/>
                <w:b w:val="0"/>
                <w:i w:val="0"/>
                <w:color w:val="000000"/>
                <w:sz w:val="18"/>
              </w:rPr>
              <w:t>In progress</w:t>
            </w:r>
          </w:p>
        </w:tc>
        <w:tc>
          <w:tcPr>
            <w:tcW w:w="3338" w:type="dxa"/>
          </w:tcPr>
          <w:p>
            <w:pPr>
              <w:spacing w:after="80"/>
            </w:pPr>
            <w:r>
              <w:rPr>
                <w:rFonts w:ascii="Calibri" w:hAnsi="Calibri"/>
                <w:b w:val="0"/>
                <w:i w:val="0"/>
                <w:color w:val="000000"/>
                <w:sz w:val="18"/>
              </w:rPr>
              <w:t>The generic reference scheme was replaced by the documentation of the architecture actually implemented (API Gateway, Lambda, S3 and Terraform), produced by the member in charge of the area.</w:t>
            </w:r>
          </w:p>
        </w:tc>
      </w:tr>
      <w:tr w:rsidR="00FD5149" w:rsidRPr="006E3B0D" w14:paraId="0D4FAAA2" w14:textId="77777777" w:rsidTr="00EA0C09">
        <w:trPr/>
        <w:tc>
          <w:tcPr>
            <w:tcW w:w="1500" w:type="dxa"/>
          </w:tcPr>
          <w:p>
            <w:pPr>
              <w:spacing w:after="80"/>
            </w:pPr>
            <w:r>
              <w:rPr>
                <w:rFonts w:ascii="Calibri" w:hAnsi="Calibri"/>
                <w:b w:val="0"/>
                <w:i w:val="0"/>
                <w:color w:val="000000"/>
                <w:sz w:val="18"/>
              </w:rPr>
              <w:t>IT Project Management</w:t>
            </w:r>
          </w:p>
        </w:tc>
        <w:tc>
          <w:tcPr>
            <w:tcW w:w="1600" w:type="dxa"/>
          </w:tcPr>
          <w:p>
            <w:pPr>
              <w:spacing w:after="80"/>
            </w:pPr>
            <w:r>
              <w:rPr>
                <w:rFonts w:ascii="Calibri" w:hAnsi="Calibri"/>
                <w:b w:val="0"/>
                <w:i w:val="0"/>
                <w:color w:val="000000"/>
                <w:sz w:val="18"/>
              </w:rPr>
              <w:t>Coordination with the participating school</w:t>
            </w:r>
          </w:p>
        </w:tc>
        <w:tc>
          <w:tcPr>
            <w:tcW w:w="1900" w:type="dxa"/>
          </w:tcPr>
          <w:p>
            <w:pPr>
              <w:spacing w:after="80"/>
            </w:pPr>
            <w:r>
              <w:rPr>
                <w:rFonts w:ascii="Calibri" w:hAnsi="Calibri"/>
                <w:b w:val="0"/>
                <w:i w:val="0"/>
                <w:color w:val="000000"/>
                <w:sz w:val="18"/>
              </w:rPr>
              <w:t>Letter of Commitment, institutional email, project presentation</w:t>
            </w:r>
          </w:p>
        </w:tc>
        <w:tc>
          <w:tcPr>
            <w:tcW w:w="1500" w:type="dxa"/>
          </w:tcPr>
          <w:p>
            <w:pPr>
              <w:spacing w:after="80"/>
            </w:pPr>
            <w:r>
              <w:rPr>
                <w:rFonts w:ascii="Calibri" w:hAnsi="Calibri"/>
                <w:b w:val="0"/>
                <w:i w:val="0"/>
                <w:color w:val="000000"/>
                <w:sz w:val="18"/>
              </w:rPr>
              <w:t>3 weeks (W3 – W5: 24-Aug to 13-Sep)</w:t>
            </w:r>
          </w:p>
        </w:tc>
        <w:tc>
          <w:tcPr>
            <w:tcW w:w="1250" w:type="dxa"/>
          </w:tcPr>
          <w:p>
            <w:pPr>
              <w:spacing w:after="80"/>
            </w:pPr>
            <w:r>
              <w:rPr>
                <w:rFonts w:ascii="Calibri" w:hAnsi="Calibri"/>
                <w:b w:val="0"/>
                <w:i w:val="0"/>
                <w:color w:val="000000"/>
                <w:sz w:val="18"/>
              </w:rPr>
              <w:t>All team members</w:t>
            </w:r>
          </w:p>
        </w:tc>
        <w:tc>
          <w:tcPr>
            <w:tcW w:w="2600" w:type="dxa"/>
          </w:tcPr>
          <w:p>
            <w:pPr>
              <w:spacing w:after="80"/>
            </w:pPr>
            <w:r>
              <w:rPr>
                <w:rFonts w:ascii="Calibri" w:hAnsi="Calibri"/>
                <w:b w:val="0"/>
                <w:i w:val="0"/>
                <w:color w:val="000000"/>
                <w:sz w:val="18"/>
              </w:rPr>
              <w:t>Depends on the availability and response times of the educational institution.</w:t>
            </w:r>
          </w:p>
        </w:tc>
        <w:tc>
          <w:tcPr>
            <w:tcW w:w="1150" w:type="dxa"/>
          </w:tcPr>
          <w:p>
            <w:pPr>
              <w:spacing w:after="80"/>
            </w:pPr>
            <w:r>
              <w:rPr>
                <w:rFonts w:ascii="Calibri" w:hAnsi="Calibri"/>
                <w:b w:val="0"/>
                <w:i w:val="0"/>
                <w:color w:val="000000"/>
                <w:sz w:val="18"/>
              </w:rPr>
              <w:t>In progress</w:t>
            </w:r>
          </w:p>
        </w:tc>
        <w:tc>
          <w:tcPr>
            <w:tcW w:w="3338" w:type="dxa"/>
          </w:tcPr>
          <w:p>
            <w:pPr>
              <w:spacing w:after="80"/>
            </w:pPr>
            <w:r>
              <w:rPr>
                <w:rFonts w:ascii="Calibri" w:hAnsi="Calibri"/>
                <w:b w:val="0"/>
                <w:i w:val="0"/>
                <w:color w:val="000000"/>
                <w:sz w:val="18"/>
              </w:rPr>
              <w:t>The contact material was standardised and coordination with more than one institution is being managed in parallel, so as not to depend on a single response.</w:t>
            </w:r>
          </w:p>
        </w:tc>
      </w:tr>
      <w:tr w:rsidR="00FD5149" w:rsidRPr="006E3B0D" w14:paraId="0D4FAAA2" w14:textId="77777777" w:rsidTr="00EA0C09">
        <w:trPr/>
        <w:tc>
          <w:tcPr>
            <w:tcW w:w="1500" w:type="dxa"/>
          </w:tcPr>
          <w:p>
            <w:pPr>
              <w:spacing w:after="80"/>
            </w:pPr>
            <w:r>
              <w:rPr>
                <w:rFonts w:ascii="Calibri" w:hAnsi="Calibri"/>
                <w:b w:val="0"/>
                <w:i w:val="0"/>
                <w:color w:val="000000"/>
                <w:sz w:val="18"/>
              </w:rPr>
              <w:t>IT Project Management</w:t>
            </w:r>
          </w:p>
        </w:tc>
        <w:tc>
          <w:tcPr>
            <w:tcW w:w="1600" w:type="dxa"/>
          </w:tcPr>
          <w:p>
            <w:pPr>
              <w:spacing w:after="80"/>
            </w:pPr>
            <w:r>
              <w:rPr>
                <w:rFonts w:ascii="Calibri" w:hAnsi="Calibri"/>
                <w:b w:val="0"/>
                <w:i w:val="0"/>
                <w:color w:val="000000"/>
                <w:sz w:val="18"/>
              </w:rPr>
              <w:t>Informed consent forms</w:t>
            </w:r>
          </w:p>
        </w:tc>
        <w:tc>
          <w:tcPr>
            <w:tcW w:w="1900" w:type="dxa"/>
          </w:tcPr>
          <w:p>
            <w:pPr>
              <w:spacing w:after="80"/>
            </w:pPr>
            <w:r>
              <w:rPr>
                <w:rFonts w:ascii="Calibri" w:hAnsi="Calibri"/>
                <w:b w:val="0"/>
                <w:i w:val="0"/>
                <w:color w:val="000000"/>
                <w:sz w:val="18"/>
              </w:rPr>
              <w:t>Consent documents, support from the school</w:t>
            </w:r>
          </w:p>
        </w:tc>
        <w:tc>
          <w:tcPr>
            <w:tcW w:w="1500" w:type="dxa"/>
          </w:tcPr>
          <w:p>
            <w:pPr>
              <w:spacing w:after="80"/>
            </w:pPr>
            <w:r>
              <w:rPr>
                <w:rFonts w:ascii="Calibri" w:hAnsi="Calibri"/>
                <w:b w:val="0"/>
                <w:i w:val="0"/>
                <w:color w:val="000000"/>
                <w:sz w:val="18"/>
              </w:rPr>
              <w:t>2 weeks (W5 – W6: 07-Sep to 20-Sep) for drafting the document; collection of signatures conditioned by the confirmation of the institution</w:t>
            </w:r>
          </w:p>
        </w:tc>
        <w:tc>
          <w:tcPr>
            <w:tcW w:w="1250" w:type="dxa"/>
          </w:tcPr>
          <w:p>
            <w:pPr>
              <w:spacing w:after="80"/>
            </w:pPr>
            <w:r>
              <w:rPr>
                <w:rFonts w:ascii="Calibri" w:hAnsi="Calibri"/>
                <w:b w:val="0"/>
                <w:i w:val="0"/>
                <w:color w:val="000000"/>
                <w:sz w:val="18"/>
              </w:rPr>
              <w:t>All team members</w:t>
            </w:r>
          </w:p>
        </w:tc>
        <w:tc>
          <w:tcPr>
            <w:tcW w:w="2600" w:type="dxa"/>
          </w:tcPr>
          <w:p>
            <w:pPr>
              <w:spacing w:after="80"/>
            </w:pPr>
            <w:r>
              <w:rPr>
                <w:rFonts w:ascii="Calibri" w:hAnsi="Calibri"/>
                <w:b w:val="0"/>
                <w:i w:val="0"/>
                <w:color w:val="000000"/>
                <w:sz w:val="18"/>
              </w:rPr>
              <w:t>Depends on a third party: until an institution has confirmed, the consent forms cannot be distributed nor the means of collecting the authorisations agreed.</w:t>
            </w:r>
          </w:p>
        </w:tc>
        <w:tc>
          <w:tcPr>
            <w:tcW w:w="1150" w:type="dxa"/>
          </w:tcPr>
          <w:p>
            <w:pPr>
              <w:spacing w:after="80"/>
            </w:pPr>
            <w:r>
              <w:rPr>
                <w:rFonts w:ascii="Calibri" w:hAnsi="Calibri"/>
                <w:b w:val="0"/>
                <w:i w:val="0"/>
                <w:color w:val="000000"/>
                <w:sz w:val="18"/>
              </w:rPr>
              <w:t>Adjusted</w:t>
            </w:r>
          </w:p>
        </w:tc>
        <w:tc>
          <w:tcPr>
            <w:tcW w:w="3338" w:type="dxa"/>
          </w:tcPr>
          <w:p>
            <w:pPr>
              <w:spacing w:after="80"/>
            </w:pPr>
            <w:r>
              <w:rPr>
                <w:rFonts w:ascii="Calibri" w:hAnsi="Calibri"/>
                <w:b w:val="0"/>
                <w:i w:val="0"/>
                <w:color w:val="000000"/>
                <w:sz w:val="18"/>
              </w:rPr>
              <w:t>The activity was split into two parts. The drafting of the informed consent document was completed within the planned window and the format is available for distribution. The collection of signatures was replanned as a sub-activity conditioned by the confirmation of the institution, to be carried out within the two weeks following that confirmation and always before the start of the field testing.</w:t>
            </w:r>
          </w:p>
        </w:tc>
      </w:tr>
      <w:tr w:rsidR="00FD5149" w:rsidRPr="006E3B0D" w14:paraId="0D4FAAA2" w14:textId="77777777" w:rsidTr="00EA0C09">
        <w:trPr/>
        <w:tc>
          <w:tcPr>
            <w:tcW w:w="1500" w:type="dxa"/>
          </w:tcPr>
          <w:p>
            <w:pPr>
              <w:spacing w:after="80"/>
            </w:pPr>
            <w:r>
              <w:rPr>
                <w:rFonts w:ascii="Calibri" w:hAnsi="Calibri"/>
                <w:b w:val="0"/>
                <w:i w:val="0"/>
                <w:color w:val="000000"/>
                <w:sz w:val="18"/>
              </w:rPr>
              <w:t>Development of Technological Solutions</w:t>
            </w:r>
          </w:p>
        </w:tc>
        <w:tc>
          <w:tcPr>
            <w:tcW w:w="1600" w:type="dxa"/>
          </w:tcPr>
          <w:p>
            <w:pPr>
              <w:spacing w:after="80"/>
            </w:pPr>
            <w:r>
              <w:rPr>
                <w:rFonts w:ascii="Calibri" w:hAnsi="Calibri"/>
                <w:b w:val="0"/>
                <w:i w:val="0"/>
                <w:color w:val="000000"/>
                <w:sz w:val="18"/>
              </w:rPr>
              <w:t>Execution of field testing</w:t>
            </w:r>
          </w:p>
        </w:tc>
        <w:tc>
          <w:tcPr>
            <w:tcW w:w="1900" w:type="dxa"/>
          </w:tcPr>
          <w:p>
            <w:pPr>
              <w:spacing w:after="80"/>
            </w:pPr>
            <w:r>
              <w:rPr>
                <w:rFonts w:ascii="Calibri" w:hAnsi="Calibri"/>
                <w:b w:val="0"/>
                <w:i w:val="0"/>
                <w:color w:val="000000"/>
                <w:sz w:val="18"/>
              </w:rPr>
              <w:t>VR headsets, participating school, data capture forms</w:t>
            </w:r>
          </w:p>
        </w:tc>
        <w:tc>
          <w:tcPr>
            <w:tcW w:w="1500" w:type="dxa"/>
          </w:tcPr>
          <w:p>
            <w:pPr>
              <w:spacing w:after="80"/>
            </w:pPr>
            <w:r>
              <w:rPr>
                <w:rFonts w:ascii="Calibri" w:hAnsi="Calibri"/>
                <w:b w:val="0"/>
                <w:i w:val="0"/>
                <w:color w:val="000000"/>
                <w:sz w:val="18"/>
              </w:rPr>
              <w:t>4 weeks (W8 – W11: 28-Sep to 25-Oct)</w:t>
            </w:r>
          </w:p>
        </w:tc>
        <w:tc>
          <w:tcPr>
            <w:tcW w:w="1250" w:type="dxa"/>
          </w:tcPr>
          <w:p>
            <w:pPr>
              <w:spacing w:after="80"/>
            </w:pPr>
            <w:r>
              <w:rPr>
                <w:rFonts w:ascii="Calibri" w:hAnsi="Calibri"/>
                <w:b w:val="0"/>
                <w:i w:val="0"/>
                <w:color w:val="000000"/>
                <w:sz w:val="18"/>
              </w:rPr>
              <w:t>All team members</w:t>
            </w:r>
          </w:p>
        </w:tc>
        <w:tc>
          <w:tcPr>
            <w:tcW w:w="2600" w:type="dxa"/>
          </w:tcPr>
          <w:p>
            <w:pPr>
              <w:spacing w:after="80"/>
            </w:pPr>
            <w:r>
              <w:rPr>
                <w:rFonts w:ascii="Calibri" w:hAnsi="Calibri"/>
                <w:b w:val="0"/>
                <w:i w:val="0"/>
                <w:color w:val="000000"/>
                <w:sz w:val="18"/>
              </w:rPr>
              <w:t>Depends on the attendance and availability of the students of the institution.</w:t>
            </w:r>
          </w:p>
        </w:tc>
        <w:tc>
          <w:tcPr>
            <w:tcW w:w="1150" w:type="dxa"/>
          </w:tcPr>
          <w:p>
            <w:pPr>
              <w:spacing w:after="80"/>
            </w:pPr>
            <w:r>
              <w:rPr>
                <w:rFonts w:ascii="Calibri" w:hAnsi="Calibri"/>
                <w:b w:val="0"/>
                <w:i w:val="0"/>
                <w:color w:val="000000"/>
                <w:sz w:val="18"/>
              </w:rPr>
              <w:t>Not started</w:t>
            </w:r>
          </w:p>
        </w:tc>
        <w:tc>
          <w:tcPr>
            <w:tcW w:w="3338" w:type="dxa"/>
          </w:tcPr>
          <w:p>
            <w:pPr>
              <w:spacing w:after="80"/>
            </w:pPr>
            <w:r>
              <w:rPr>
                <w:rFonts w:ascii="Calibri" w:hAnsi="Calibri"/>
                <w:b w:val="0"/>
                <w:i w:val="0"/>
                <w:color w:val="000000"/>
                <w:sz w:val="18"/>
              </w:rPr>
              <w:t>Adjusted: the duration was extended from 3 to 4 weeks and the start was brought forward by one week (W8 instead of W9), in order to be consistent with the specific objective of intervening 2 times per week for 1 month, without encroaching on Phase 3.</w:t>
            </w:r>
          </w:p>
        </w:tc>
      </w:tr>
      <w:tr w:rsidR="00FD5149" w:rsidRPr="006E3B0D" w14:paraId="0D4FAAA2" w14:textId="77777777" w:rsidTr="00EA0C09">
        <w:trPr/>
        <w:tc>
          <w:tcPr>
            <w:tcW w:w="1500" w:type="dxa"/>
          </w:tcPr>
          <w:p>
            <w:pPr>
              <w:spacing w:after="80"/>
            </w:pPr>
            <w:r>
              <w:rPr>
                <w:rFonts w:ascii="Calibri" w:hAnsi="Calibri"/>
                <w:b w:val="0"/>
                <w:i w:val="0"/>
                <w:color w:val="000000"/>
                <w:sz w:val="18"/>
              </w:rPr>
              <w:t>Information Architecture and Management</w:t>
            </w:r>
          </w:p>
        </w:tc>
        <w:tc>
          <w:tcPr>
            <w:tcW w:w="1600" w:type="dxa"/>
          </w:tcPr>
          <w:p>
            <w:pPr>
              <w:spacing w:after="80"/>
            </w:pPr>
            <w:r>
              <w:rPr>
                <w:rFonts w:ascii="Calibri" w:hAnsi="Calibri"/>
                <w:b w:val="0"/>
                <w:i w:val="0"/>
                <w:color w:val="000000"/>
                <w:sz w:val="18"/>
              </w:rPr>
              <w:t>Transmission of data to the cloud</w:t>
            </w:r>
          </w:p>
        </w:tc>
        <w:tc>
          <w:tcPr>
            <w:tcW w:w="1900" w:type="dxa"/>
          </w:tcPr>
          <w:p>
            <w:pPr>
              <w:spacing w:after="80"/>
            </w:pPr>
            <w:r>
              <w:rPr>
                <w:rFonts w:ascii="Calibri" w:hAnsi="Calibri"/>
                <w:b w:val="0"/>
                <w:i w:val="0"/>
                <w:color w:val="000000"/>
                <w:sz w:val="18"/>
              </w:rPr>
              <w:t>AWS (Lambda, Terraform), API, access credentials</w:t>
            </w:r>
          </w:p>
        </w:tc>
        <w:tc>
          <w:tcPr>
            <w:tcW w:w="1500" w:type="dxa"/>
          </w:tcPr>
          <w:p>
            <w:pPr>
              <w:spacing w:after="80"/>
            </w:pPr>
            <w:r>
              <w:rPr>
                <w:rFonts w:ascii="Calibri" w:hAnsi="Calibri"/>
                <w:b w:val="0"/>
                <w:i w:val="0"/>
                <w:color w:val="000000"/>
                <w:sz w:val="18"/>
              </w:rPr>
              <w:t>2 weeks (W10 – W11: 12-Oct to 25-Oct)</w:t>
            </w:r>
          </w:p>
        </w:tc>
        <w:tc>
          <w:tcPr>
            <w:tcW w:w="1250" w:type="dxa"/>
          </w:tcPr>
          <w:p>
            <w:pPr>
              <w:spacing w:after="80"/>
            </w:pPr>
            <w:r>
              <w:rPr>
                <w:rFonts w:ascii="Calibri" w:hAnsi="Calibri"/>
                <w:b w:val="0"/>
                <w:i w:val="0"/>
                <w:color w:val="000000"/>
                <w:sz w:val="18"/>
              </w:rPr>
              <w:t>Katalina Pérez</w:t>
            </w:r>
          </w:p>
        </w:tc>
        <w:tc>
          <w:tcPr>
            <w:tcW w:w="2600" w:type="dxa"/>
          </w:tcPr>
          <w:p>
            <w:pPr>
              <w:spacing w:after="80"/>
            </w:pPr>
            <w:r>
              <w:rPr>
                <w:rFonts w:ascii="Calibri" w:hAnsi="Calibri"/>
                <w:b w:val="0"/>
                <w:i w:val="0"/>
                <w:color w:val="000000"/>
                <w:sz w:val="18"/>
              </w:rPr>
              <w:t>The availability of the cloud environment depends on manual activation sessions of the service.</w:t>
            </w:r>
          </w:p>
        </w:tc>
        <w:tc>
          <w:tcPr>
            <w:tcW w:w="1150" w:type="dxa"/>
          </w:tcPr>
          <w:p>
            <w:pPr>
              <w:spacing w:after="80"/>
            </w:pPr>
            <w:r>
              <w:rPr>
                <w:rFonts w:ascii="Calibri" w:hAnsi="Calibri"/>
                <w:b w:val="0"/>
                <w:i w:val="0"/>
                <w:color w:val="000000"/>
                <w:sz w:val="18"/>
              </w:rPr>
              <w:t>Not started</w:t>
            </w:r>
          </w:p>
        </w:tc>
        <w:tc>
          <w:tcPr>
            <w:tcW w:w="3338" w:type="dxa"/>
          </w:tcPr>
          <w:p>
            <w:pPr>
              <w:spacing w:after="80"/>
            </w:pPr>
            <w:r>
              <w:rPr>
                <w:rFonts w:ascii="Calibri" w:hAnsi="Calibri"/>
                <w:b w:val="0"/>
                <w:i w:val="0"/>
                <w:color w:val="000000"/>
                <w:sz w:val="18"/>
              </w:rPr>
              <w:t>No adjustments. It remains conditioned by the start of the field testing, which is the source of the data to be transmitted.</w:t>
            </w:r>
          </w:p>
        </w:tc>
      </w:tr>
      <w:tr w:rsidR="00FD5149" w:rsidRPr="006E3B0D" w14:paraId="0D4FAAA2" w14:textId="77777777" w:rsidTr="00EA0C09">
        <w:trPr/>
        <w:tc>
          <w:tcPr>
            <w:tcW w:w="1500" w:type="dxa"/>
          </w:tcPr>
          <w:p>
            <w:pPr>
              <w:spacing w:after="80"/>
            </w:pPr>
            <w:r>
              <w:rPr>
                <w:rFonts w:ascii="Calibri" w:hAnsi="Calibri"/>
                <w:b w:val="0"/>
                <w:i w:val="0"/>
                <w:color w:val="000000"/>
                <w:sz w:val="18"/>
              </w:rPr>
              <w:t>IT Project Management</w:t>
            </w:r>
          </w:p>
        </w:tc>
        <w:tc>
          <w:tcPr>
            <w:tcW w:w="1600" w:type="dxa"/>
          </w:tcPr>
          <w:p>
            <w:pPr>
              <w:spacing w:after="80"/>
            </w:pPr>
            <w:r>
              <w:rPr>
                <w:rFonts w:ascii="Calibri" w:hAnsi="Calibri"/>
                <w:b w:val="0"/>
                <w:i w:val="0"/>
                <w:color w:val="000000"/>
                <w:sz w:val="18"/>
              </w:rPr>
              <w:t>Closure, defence and final submission</w:t>
            </w:r>
          </w:p>
        </w:tc>
        <w:tc>
          <w:tcPr>
            <w:tcW w:w="1900" w:type="dxa"/>
          </w:tcPr>
          <w:p>
            <w:pPr>
              <w:spacing w:after="80"/>
            </w:pPr>
            <w:r>
              <w:rPr>
                <w:rFonts w:ascii="Calibri" w:hAnsi="Calibri"/>
                <w:b w:val="0"/>
                <w:i w:val="0"/>
                <w:color w:val="000000"/>
                <w:sz w:val="18"/>
              </w:rPr>
              <w:t>Final documentation, presentation, evaluation committee</w:t>
            </w:r>
          </w:p>
        </w:tc>
        <w:tc>
          <w:tcPr>
            <w:tcW w:w="1500" w:type="dxa"/>
          </w:tcPr>
          <w:p>
            <w:pPr>
              <w:spacing w:after="80"/>
            </w:pPr>
            <w:r>
              <w:rPr>
                <w:rFonts w:ascii="Calibri" w:hAnsi="Calibri"/>
                <w:b w:val="0"/>
                <w:i w:val="0"/>
                <w:color w:val="000000"/>
                <w:sz w:val="18"/>
              </w:rPr>
              <w:t>2 weeks (W12 – W13: 26-Oct to 08-Nov)</w:t>
            </w:r>
          </w:p>
        </w:tc>
        <w:tc>
          <w:tcPr>
            <w:tcW w:w="1250" w:type="dxa"/>
          </w:tcPr>
          <w:p>
            <w:pPr>
              <w:spacing w:after="80"/>
            </w:pPr>
            <w:r>
              <w:rPr>
                <w:rFonts w:ascii="Calibri" w:hAnsi="Calibri"/>
                <w:b w:val="0"/>
                <w:i w:val="0"/>
                <w:color w:val="000000"/>
                <w:sz w:val="18"/>
              </w:rPr>
              <w:t>All team members</w:t>
            </w:r>
          </w:p>
        </w:tc>
        <w:tc>
          <w:tcPr>
            <w:tcW w:w="2600" w:type="dxa"/>
          </w:tcPr>
          <w:p>
            <w:pPr>
              <w:spacing w:after="80"/>
            </w:pPr>
            <w:r>
              <w:rPr>
                <w:rFonts w:ascii="Calibri" w:hAnsi="Calibri"/>
                <w:b w:val="0"/>
                <w:i w:val="0"/>
                <w:color w:val="000000"/>
                <w:sz w:val="18"/>
              </w:rPr>
              <w:t>Requires coordinating the team's schedules for the group rehearsals.</w:t>
            </w:r>
          </w:p>
        </w:tc>
        <w:tc>
          <w:tcPr>
            <w:tcW w:w="1150" w:type="dxa"/>
          </w:tcPr>
          <w:p>
            <w:pPr>
              <w:spacing w:after="80"/>
            </w:pPr>
            <w:r>
              <w:rPr>
                <w:rFonts w:ascii="Calibri" w:hAnsi="Calibri"/>
                <w:b w:val="0"/>
                <w:i w:val="0"/>
                <w:color w:val="000000"/>
                <w:sz w:val="18"/>
              </w:rPr>
              <w:t>Not started</w:t>
            </w:r>
          </w:p>
        </w:tc>
        <w:tc>
          <w:tcPr>
            <w:tcW w:w="3338" w:type="dxa"/>
          </w:tcPr>
          <w:p>
            <w:pPr>
              <w:spacing w:after="80"/>
            </w:pPr>
            <w:r>
              <w:rPr>
                <w:rFonts w:ascii="Calibri" w:hAnsi="Calibri"/>
                <w:b w:val="0"/>
                <w:i w:val="0"/>
                <w:color w:val="000000"/>
                <w:sz w:val="18"/>
              </w:rPr>
              <w:t>No adjustments.</w:t>
            </w:r>
          </w:p>
        </w:tc>
      </w:tr>
    </w:tbl>
    <w:p w14:paraId="66FF4E8D" w14:textId="77777777" w:rsidR="0003309E" w:rsidRDefault="0003309E" w:rsidP="0003309E">
      <w:pPr>
        <w:rPr>
          <w:rFonts w:cs="Calibri Light"/>
          <w:color w:val="595959" w:themeColor="text1" w:themeTint="A6"/>
          <w:sz w:val="24"/>
          <w:szCs w:val="24"/>
          <w:lang w:val="es-ES"/>
        </w:rPr>
        <w:sectPr w:rsidR="0003309E" w:rsidRPr="0003309E">
          <w:headerReference w:type="default" r:id="rId10"/>
          <w:pgSz w:w="16838" w:h="11906" w:orient="landscape"/>
          <w:pgMar w:top="1000" w:right="1000" w:bottom="1000" w:left="1000" w:header="708" w:footer="708" w:gutter="0"/>
          <w:cols w:space="708"/>
          <w:docGrid w:linePitch="360"/>
        </w:sect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 xml:space="preserve">3. Adjustments arising from the monitoring </w:t>
            </w:r>
            <w:r w:rsidRPr="00874D16">
              <w:rPr>
                <w:b/>
                <w:color w:val="1F3864" w:themeColor="accent1" w:themeShade="80"/>
                <w:sz w:val="28"/>
                <w:szCs w:val="28"/>
              </w:rPr>
            </w:r>
            <w:r>
              <w:rPr>
                <w:b/>
                <w:color w:val="1F3864" w:themeColor="accent1" w:themeShade="80"/>
                <w:sz w:val="28"/>
                <w:szCs w:val="28"/>
              </w:rPr>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Go deeper into the observations of your work plan. Analyse the planned activities and state which aspects facilitated or hindered the execution of the plan. Explain how you addressed and/or will address the obstacles. Finally, state the adjustments you made to the work plan on the basis of this analysis.</w:t>
            </w:r>
            <w:r w:rsidR="00521026">
              <w:rPr>
                <w:rFonts w:ascii="Calibri" w:hAnsi="Calibri"/>
                <w:color w:val="1F3864" w:themeColor="accent1" w:themeShade="80"/>
              </w:rPr>
            </w:r>
            <w:r w:rsidRPr="00B27207">
              <w:rPr>
                <w:rFonts w:ascii="Calibri" w:hAnsi="Calibri"/>
                <w:color w:val="1F3864" w:themeColor="accent1" w:themeShade="80"/>
              </w:rPr>
            </w:r>
            <w:r w:rsidR="00521026">
              <w:rPr>
                <w:rFonts w:ascii="Calibri" w:hAnsi="Calibri"/>
                <w:color w:val="1F3864" w:themeColor="accent1" w:themeShade="80"/>
              </w:rPr>
            </w:r>
            <w:r w:rsidRPr="00B27207">
              <w:rPr>
                <w:rFonts w:ascii="Calibri" w:hAnsi="Calibri"/>
                <w:color w:val="1F3864" w:themeColor="accent1" w:themeShade="80"/>
              </w:rPr>
            </w:r>
            <w:r w:rsidR="00521026">
              <w:rPr>
                <w:rFonts w:ascii="Calibri" w:hAnsi="Calibri"/>
                <w:color w:val="1F3864" w:themeColor="accent1" w:themeShade="80"/>
              </w:rPr>
            </w:r>
            <w:r w:rsidRPr="00B27207">
              <w:rPr>
                <w:rFonts w:ascii="Calibri" w:hAnsi="Calibri"/>
                <w:color w:val="1F3864" w:themeColor="accent1" w:themeShade="80"/>
              </w:rPr>
            </w:r>
            <w:r w:rsidR="00521026">
              <w:rPr>
                <w:rFonts w:ascii="Calibri" w:hAnsi="Calibri"/>
                <w:color w:val="1F3864" w:themeColor="accent1" w:themeShade="80"/>
              </w:rPr>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color w:val="1F3864" w:themeColor="accent1" w:themeShade="80"/>
              </w:rPr>
              <w:t xml:space="preserve">Factors that have facilitated and/or hindered the development of my work plan: </w:t>
            </w:r>
            <w:r w:rsidRPr="00CD38BD">
              <w:rPr>
                <w:rFonts w:ascii="Calibri" w:hAnsi="Calibri"/>
                <w:color w:val="1F3864" w:themeColor="accent1" w:themeShade="80"/>
              </w:rPr>
            </w:r>
            <w:r>
              <w:rPr>
                <w:rFonts w:ascii="Calibri" w:hAnsi="Calibri"/>
                <w:color w:val="1F3864" w:themeColor="accent1" w:themeShade="80"/>
              </w:rPr>
            </w:r>
            <w:r w:rsidRPr="00CD38BD">
              <w:rPr>
                <w:rFonts w:ascii="Calibri" w:hAnsi="Calibri"/>
                <w:color w:val="1F3864" w:themeColor="accent1" w:themeShade="80"/>
              </w:rPr>
            </w:r>
            <w:r>
              <w:rPr>
                <w:rFonts w:ascii="Calibri" w:hAnsi="Calibri"/>
                <w:color w:val="1F3864" w:themeColor="accent1" w:themeShade="80"/>
              </w:rPr>
            </w:r>
            <w:r w:rsidRPr="00CD38BD">
              <w:rPr>
                <w:rFonts w:ascii="Calibri" w:hAnsi="Calibri" w:cs="Arial"/>
                <w:color w:val="548DD4"/>
                <w:sz w:val="20"/>
                <w:szCs w:val="20"/>
                <w:lang w:eastAsia="es-CL"/>
              </w:rPr>
            </w:r>
            <w:r w:rsidRPr="00371CBB">
              <w:rPr>
                <w:rFonts w:ascii="Calibri" w:hAnsi="Calibri" w:cs="Arial"/>
                <w:i/>
                <w:iCs/>
                <w:color w:val="548DD4"/>
                <w:sz w:val="20"/>
                <w:szCs w:val="20"/>
                <w:lang w:eastAsia="es-CL"/>
              </w:rPr>
              <w:t xml:space="preserve">Describe the factors that have facilitated and/or hindered the development of your APT Project so far. In the case of difficulties, you must describe what actions you took and/or will take to solve them. </w:t>
            </w:r>
            <w:r>
              <w:rPr>
                <w:rFonts w:ascii="Calibri" w:hAnsi="Calibri" w:cs="Arial"/>
                <w:i/>
                <w:iCs/>
                <w:color w:val="548DD4"/>
                <w:sz w:val="20"/>
                <w:szCs w:val="20"/>
                <w:lang w:eastAsia="es-CL"/>
              </w:rPr>
            </w:r>
            <w:r w:rsidRPr="00371CBB">
              <w:rPr>
                <w:rFonts w:ascii="Calibri" w:hAnsi="Calibri" w:cs="Arial"/>
                <w:i/>
                <w:iCs/>
                <w:color w:val="548DD4"/>
                <w:sz w:val="20"/>
                <w:szCs w:val="20"/>
                <w:lang w:eastAsia="es-CL"/>
              </w:rPr>
            </w:r>
            <w:r>
              <w:rPr>
                <w:rFonts w:ascii="Calibri" w:hAnsi="Calibri" w:cs="Arial"/>
                <w:i/>
                <w:iCs/>
                <w:color w:val="548DD4"/>
                <w:sz w:val="20"/>
                <w:szCs w:val="20"/>
                <w:lang w:eastAsia="es-CL"/>
              </w:rPr>
            </w:r>
            <w:r w:rsidRPr="00371CBB">
              <w:rPr>
                <w:rFonts w:ascii="Calibri" w:hAnsi="Calibri" w:cs="Arial"/>
                <w:i/>
                <w:iCs/>
                <w:color w:val="548DD4"/>
                <w:sz w:val="20"/>
                <w:szCs w:val="20"/>
                <w:lang w:eastAsia="es-CL"/>
              </w:rPr>
            </w:r>
            <w:r>
              <w:rPr>
                <w:rFonts w:ascii="Calibri" w:hAnsi="Calibri" w:cs="Arial"/>
                <w:i/>
                <w:iCs/>
                <w:color w:val="548DD4"/>
                <w:sz w:val="20"/>
                <w:szCs w:val="20"/>
                <w:lang w:eastAsia="es-CL"/>
              </w:rPr>
            </w:r>
            <w:r>
              <w:rPr>
                <w:rFonts w:ascii="Calibri" w:hAnsi="Calibri"/>
                <w:b/>
                <w:color w:val="1F3864" w:themeColor="accent1" w:themeShade="80"/>
              </w:rPr>
              <w:t xml:space="preserve"> </w:t>
            </w:r>
          </w:p>
          <w:p>
            <w:pPr>
              <w:spacing w:after="80"/>
              <w:jc w:val="both"/>
            </w:pPr>
            <w:r>
              <w:rPr>
                <w:rFonts w:ascii="Calibri" w:hAnsi="Calibri"/>
                <w:b w:val="0"/>
                <w:i w:val="0"/>
                <w:color w:val="000000"/>
                <w:sz w:val="20"/>
              </w:rPr>
              <w:t>Factors that have facilitated the development of the work plan. The main enabling factor is that EmotionLAB is a continuity project: it starts from a previously developed version, which reduces technical risk and makes it possible to concentrate the effort on redesigning the experience for Secondary School students and on the telemetry. In addition, the team is small and has had clearly defined roles since Phase 1, which avoids overlapping tasks; the use of a Kanban board on GitHub Projects, which makes progress visible and allows bottlenecks to be detected during the weekly review; and the instructor's early feedback, which made it possible to correct the focus of the project before consolidating the Phase 2 documentation.</w:t>
            </w:r>
          </w:p>
          <w:p>
            <w:pPr>
              <w:spacing w:after="80"/>
              <w:jc w:val="both"/>
            </w:pPr>
            <w:r>
              <w:rPr>
                <w:rFonts w:ascii="Calibri" w:hAnsi="Calibri"/>
                <w:b w:val="0"/>
                <w:i w:val="0"/>
                <w:color w:val="000000"/>
                <w:sz w:val="20"/>
              </w:rPr>
              <w:t>Factors that have hindered the development of the work plan. In the first place, coordination with the educational institution depends on response times that the team does not control, and both the field testing —the most critical activity of the schedule— and the management of the informed consent forms depend on it. As of the date of this report, no institution has confirmed its participation. To address this, the contact material was standardised, coordination with more than one institution is being managed in parallel so as not to depend on a single response, and the drafting of the consent document was brought forward so that the only outstanding variable is the school's confirmation; in addition, the semester allows for a contingency margin of five weeks with respect to the thirteen planned.</w:t>
            </w:r>
          </w:p>
          <w:p>
            <w:pPr>
              <w:spacing w:after="80"/>
              <w:jc w:val="both"/>
            </w:pPr>
            <w:r>
              <w:rPr>
                <w:rFonts w:ascii="Calibri" w:hAnsi="Calibri"/>
                <w:b w:val="0"/>
                <w:i w:val="0"/>
                <w:color w:val="000000"/>
                <w:sz w:val="20"/>
              </w:rPr>
              <w:t>In the second place, the instructor's feedback required reframing the project narrative —moving away from talking about measuring emotions and towards talking about behavioural data that supports the decision-making of the teacher or educational psychologist—, which meant redoing the presentation and reviewing the documentation. This was addressed by incorporating the correction across all the documents in progress, so that the project narrative is consistent from now until the closure.</w:t>
            </w:r>
          </w:p>
          <w:p>
            <w:pPr>
              <w:spacing w:after="80"/>
              <w:jc w:val="both"/>
            </w:pPr>
            <w:r>
              <w:rPr>
                <w:rFonts w:ascii="Calibri" w:hAnsi="Calibri"/>
                <w:b w:val="0"/>
                <w:i w:val="0"/>
                <w:color w:val="000000"/>
                <w:sz w:val="20"/>
              </w:rPr>
              <w:t>In the third place, the project has a dependency on the external AI team, which consumes the data we transmit. So that this dependency does not turn into a blocker, the team defined as a milestone of its own to leave the telemetry architecture and the cloud services operational and documented, so that the connection of the external team does not condition our progress.</w:t>
            </w:r>
          </w:p>
          <w:p>
            <w:pPr>
              <w:spacing w:after="80"/>
              <w:jc w:val="both"/>
            </w:pPr>
            <w:r>
              <w:rPr>
                <w:rFonts w:ascii="Calibri" w:hAnsi="Calibri"/>
                <w:b w:val="0"/>
                <w:i w:val="0"/>
                <w:color w:val="000000"/>
                <w:sz w:val="20"/>
              </w:rPr>
              <w:t>Lastly, the migration to the repository required by the course made it necessary to maintain traceability between the original repository and the new one. This was addressed by configuring the Kanban board so that it spans both repositories, avoiding duplicating or losing the issues already created.</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2A8FED79" w:rsidR="0003309E" w:rsidRDefault="0003309E" w:rsidP="00C5122E">
            <w:pPr>
              <w:jc w:val="both"/>
              <w:rPr>
                <w:rFonts w:ascii="Calibri" w:hAnsi="Calibri" w:cs="Arial"/>
                <w:i/>
                <w:color w:val="548DD4"/>
                <w:sz w:val="20"/>
                <w:szCs w:val="20"/>
                <w:lang w:eastAsia="es-CL"/>
              </w:rPr>
            </w:pPr>
            <w:r w:rsidRPr="00CD38BD">
              <w:rPr>
                <w:rFonts w:ascii="Calibri" w:hAnsi="Calibri"/>
                <w:color w:val="1F3864" w:themeColor="accent1" w:themeShade="80"/>
              </w:rPr>
              <w:t xml:space="preserve">Adjusted or removed activities: </w:t>
            </w:r>
            <w:r w:rsidR="00521026">
              <w:rPr>
                <w:rFonts w:ascii="Calibri" w:hAnsi="Calibri" w:cs="Arial"/>
                <w:i/>
                <w:color w:val="548DD4"/>
                <w:sz w:val="20"/>
                <w:szCs w:val="20"/>
                <w:lang w:eastAsia="es-CL"/>
              </w:rPr>
              <w:t xml:space="preserve">State the adjustments you made to your work plan or the activities you removed and justify why you did so. </w:t>
            </w:r>
            <w:r w:rsidRPr="00CD38BD">
              <w:rPr>
                <w:rFonts w:ascii="Calibri" w:hAnsi="Calibri" w:cs="Arial"/>
                <w:i/>
                <w:color w:val="548DD4"/>
                <w:sz w:val="20"/>
                <w:szCs w:val="20"/>
                <w:lang w:eastAsia="es-CL"/>
              </w:rPr>
            </w:r>
            <w:r w:rsidR="00521026">
              <w:rPr>
                <w:rFonts w:ascii="Calibri" w:hAnsi="Calibri" w:cs="Arial"/>
                <w:i/>
                <w:color w:val="548DD4"/>
                <w:sz w:val="20"/>
                <w:szCs w:val="20"/>
                <w:lang w:eastAsia="es-CL"/>
              </w:rPr>
            </w:r>
            <w:r w:rsidR="004B75F6">
              <w:rPr>
                <w:rFonts w:ascii="Calibri" w:hAnsi="Calibri" w:cs="Arial"/>
                <w:i/>
                <w:color w:val="548DD4"/>
                <w:sz w:val="20"/>
                <w:szCs w:val="20"/>
                <w:lang w:eastAsia="es-CL"/>
              </w:rPr>
            </w:r>
            <w:r w:rsidR="00521026">
              <w:rPr>
                <w:rFonts w:ascii="Calibri" w:hAnsi="Calibri" w:cs="Arial"/>
                <w:i/>
                <w:color w:val="548DD4"/>
                <w:sz w:val="20"/>
                <w:szCs w:val="20"/>
                <w:lang w:eastAsia="es-CL"/>
              </w:rPr>
            </w:r>
            <w:r>
              <w:rPr>
                <w:rFonts w:ascii="Calibri" w:hAnsi="Calibri" w:cs="Arial"/>
                <w:i/>
                <w:color w:val="548DD4"/>
                <w:sz w:val="20"/>
                <w:szCs w:val="20"/>
                <w:lang w:eastAsia="es-CL"/>
              </w:rPr>
            </w:r>
            <w:r w:rsidRPr="00CD38BD">
              <w:rPr>
                <w:rFonts w:ascii="Calibri" w:hAnsi="Calibri" w:cs="Arial"/>
                <w:i/>
                <w:color w:val="548DD4"/>
                <w:sz w:val="20"/>
                <w:szCs w:val="20"/>
                <w:lang w:eastAsia="es-CL"/>
              </w:rPr>
            </w:r>
            <w:r>
              <w:rPr>
                <w:rFonts w:ascii="Calibri" w:hAnsi="Calibri" w:cs="Arial"/>
                <w:i/>
                <w:color w:val="548DD4"/>
                <w:sz w:val="20"/>
                <w:szCs w:val="20"/>
                <w:lang w:eastAsia="es-CL"/>
              </w:rPr>
            </w:r>
            <w:r w:rsidRPr="00CD38BD">
              <w:rPr>
                <w:rFonts w:ascii="Calibri" w:hAnsi="Calibri" w:cs="Arial"/>
                <w:i/>
                <w:color w:val="548DD4"/>
                <w:sz w:val="20"/>
                <w:szCs w:val="20"/>
                <w:lang w:eastAsia="es-CL"/>
              </w:rPr>
            </w:r>
            <w:r w:rsidR="00521026">
              <w:t xml:space="preserve"> </w:t>
            </w:r>
            <w:r w:rsidR="00521026" w:rsidRPr="00521026">
              <w:rPr>
                <w:rFonts w:ascii="Calibri" w:hAnsi="Calibri" w:cs="Arial"/>
                <w:i/>
                <w:color w:val="548DD4"/>
                <w:sz w:val="20"/>
                <w:szCs w:val="20"/>
                <w:lang w:eastAsia="es-CL"/>
              </w:rPr>
              <w:t>If your work plan has not required and does not require adjustments, justify this decision on the basis of the enabling factors that have allowed you to develop it as planned.</w:t>
            </w:r>
          </w:p>
          <w:p>
            <w:pPr>
              <w:spacing w:after="80"/>
              <w:jc w:val="both"/>
            </w:pPr>
            <w:r>
              <w:rPr>
                <w:rFonts w:ascii="Calibri" w:hAnsi="Calibri"/>
                <w:b w:val="0"/>
                <w:i w:val="0"/>
                <w:color w:val="000000"/>
                <w:sz w:val="20"/>
              </w:rPr>
              <w:t>No activities were removed from the work plan. All the activities defined in Phase 1 remain in force, with the following adjustments:</w:t>
            </w:r>
          </w:p>
          <w:p>
            <w:pPr>
              <w:spacing w:after="80"/>
              <w:jc w:val="both"/>
            </w:pPr>
            <w:r>
              <w:rPr>
                <w:rFonts w:ascii="Calibri" w:hAnsi="Calibri"/>
                <w:b w:val="0"/>
                <w:i w:val="0"/>
                <w:color w:val="000000"/>
                <w:sz w:val="20"/>
              </w:rPr>
              <w:t>1. Execution of field testing: the duration was extended from 3 to 4 weeks and the start was brought forward by one week, so that it now runs between weeks 8 and 11 (28 September to 25 October). The justification is one of internal consistency: the specific objective commits the team to working with a minimum group of 20 students 2 times per week for 1 month, so a 3-week schedule did not allow the committed frequency to be met. Bringing the start forward makes it possible to absorb the additional week without encroaching on Phase 3 or displacing the closure of the project.</w:t>
            </w:r>
          </w:p>
          <w:p>
            <w:pPr>
              <w:spacing w:after="80"/>
              <w:jc w:val="both"/>
            </w:pPr>
            <w:r>
              <w:rPr>
                <w:rFonts w:ascii="Calibri" w:hAnsi="Calibri"/>
                <w:b w:val="0"/>
                <w:i w:val="0"/>
                <w:color w:val="000000"/>
                <w:sz w:val="20"/>
              </w:rPr>
              <w:t>2. Coordination with the participating school: the activity and its duration are maintained, but the way it is carried out was adjusted, managing contact with more than one institution in parallel and standardising the presentation material. The adjustment responds to the fact that this is the highest-risk activity of the schedule, as it depends on a third party.</w:t>
            </w:r>
          </w:p>
          <w:p>
            <w:pPr>
              <w:spacing w:after="80"/>
              <w:jc w:val="both"/>
            </w:pPr>
            <w:r>
              <w:rPr>
                <w:rFonts w:ascii="Calibri" w:hAnsi="Calibri"/>
                <w:b w:val="0"/>
                <w:i w:val="0"/>
                <w:color w:val="000000"/>
                <w:sz w:val="20"/>
              </w:rPr>
              <w:t>3. Construction of the data architecture: the documentation of the activity was adjusted. The generic reference scheme used at the outset was replaced by the documentation of the architecture actually implemented (API Gateway, Lambda, S3 and Terraform), produced by the team member in charge of the area, so that the evidence reflects the actual implementation of the project.</w:t>
            </w:r>
          </w:p>
          <w:p>
            <w:pPr>
              <w:spacing w:after="80"/>
              <w:jc w:val="both"/>
            </w:pPr>
            <w:r>
              <w:rPr>
                <w:rFonts w:ascii="Calibri" w:hAnsi="Calibri"/>
                <w:b w:val="0"/>
                <w:i w:val="0"/>
                <w:color w:val="000000"/>
                <w:sz w:val="20"/>
              </w:rPr>
              <w:t>4. Informed consent forms: the activity was split into two parts. The drafting of the document was completed within the planned window (W5 – W6) and the final format is available; the collection of signatures was replanned as a sub-activity conditioned by the confirmation of the institution, because the means of distributing and collecting the authorisations must be agreed with its management and cannot be defined beforehand. The adjustment does not alter specific objective 4 nor the privacy safeguards of the project.</w:t>
            </w:r>
          </w:p>
          <w:p>
            <w:pPr>
              <w:spacing w:after="80"/>
              <w:jc w:val="both"/>
            </w:pPr>
            <w:r>
              <w:rPr>
                <w:rFonts w:ascii="Calibri" w:hAnsi="Calibri"/>
                <w:b w:val="0"/>
                <w:i w:val="0"/>
                <w:color w:val="000000"/>
                <w:sz w:val="20"/>
              </w:rPr>
              <w:t>The remaining activities have not required adjustments, mainly because the project is a continuity project and because roles and responsibilities were defined from Phase 1 onwards, which has made it possible to carry them out as planned.</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sidRPr="00CD38BD">
              <w:rPr>
                <w:rFonts w:ascii="Calibri" w:hAnsi="Calibri"/>
                <w:color w:val="1F3864" w:themeColor="accent1" w:themeShade="80"/>
              </w:rPr>
              <w:t>Activities you have not started or that are delayed:</w:t>
            </w:r>
            <w:r>
              <w:rPr>
                <w:rFonts w:ascii="Calibri" w:hAnsi="Calibri" w:cs="Arial"/>
                <w:i/>
                <w:color w:val="548DD4"/>
                <w:sz w:val="20"/>
                <w:szCs w:val="20"/>
                <w:lang w:eastAsia="es-CL"/>
              </w:rPr>
              <w:t xml:space="preserve"> If you have </w:t>
            </w:r>
            <w:r w:rsidRPr="00CD38BD">
              <w:rPr>
                <w:rFonts w:ascii="Calibri" w:hAnsi="Calibri" w:cs="Arial"/>
                <w:i/>
                <w:color w:val="548DD4"/>
                <w:sz w:val="20"/>
                <w:szCs w:val="20"/>
                <w:lang w:eastAsia="es-CL"/>
              </w:rPr>
            </w:r>
            <w:r>
              <w:rPr>
                <w:rFonts w:ascii="Calibri" w:hAnsi="Calibri" w:cs="Arial"/>
                <w:i/>
                <w:color w:val="548DD4"/>
                <w:sz w:val="20"/>
                <w:szCs w:val="20"/>
                <w:lang w:eastAsia="es-CL"/>
              </w:rPr>
            </w:r>
            <w:r w:rsidRPr="00CD38BD">
              <w:rPr>
                <w:rFonts w:ascii="Calibri" w:hAnsi="Calibri" w:cs="Arial"/>
                <w:i/>
                <w:color w:val="548DD4"/>
                <w:sz w:val="20"/>
                <w:szCs w:val="20"/>
                <w:lang w:eastAsia="es-CL"/>
              </w:rPr>
            </w:r>
            <w:r w:rsidRPr="00CD38BD">
              <w:rPr>
                <w:rFonts w:ascii="Calibri" w:hAnsi="Calibri" w:cs="Arial"/>
                <w:b/>
                <w:i/>
                <w:color w:val="548DD4"/>
                <w:sz w:val="20"/>
                <w:szCs w:val="20"/>
                <w:lang w:eastAsia="es-CL"/>
              </w:rPr>
              <w:t>not started activities or they are delayed</w:t>
            </w:r>
            <w:r>
              <w:rPr>
                <w:rFonts w:ascii="Calibri" w:hAnsi="Calibri" w:cs="Arial"/>
                <w:b/>
                <w:i/>
                <w:color w:val="548DD4"/>
                <w:sz w:val="20"/>
                <w:szCs w:val="20"/>
                <w:lang w:eastAsia="es-CL"/>
              </w:rPr>
            </w:r>
            <w:r w:rsidRPr="00CD38BD">
              <w:rPr>
                <w:rFonts w:ascii="Calibri" w:hAnsi="Calibri" w:cs="Arial"/>
                <w:b/>
                <w:i/>
                <w:color w:val="548DD4"/>
                <w:sz w:val="20"/>
                <w:szCs w:val="20"/>
                <w:lang w:eastAsia="es-CL"/>
              </w:rPr>
            </w:r>
            <w:r>
              <w:rPr>
                <w:rFonts w:ascii="Calibri" w:hAnsi="Calibri" w:cs="Arial"/>
                <w:b/>
                <w:i/>
                <w:color w:val="548DD4"/>
                <w:sz w:val="20"/>
                <w:szCs w:val="20"/>
                <w:lang w:eastAsia="es-CL"/>
              </w:rPr>
            </w:r>
            <w:r w:rsidRPr="00CD38BD">
              <w:rPr>
                <w:rFonts w:ascii="Calibri" w:hAnsi="Calibri" w:cs="Arial"/>
                <w:b/>
                <w:i/>
                <w:color w:val="548DD4"/>
                <w:sz w:val="20"/>
                <w:szCs w:val="20"/>
                <w:lang w:eastAsia="es-CL"/>
              </w:rPr>
            </w:r>
            <w:r w:rsidRPr="00CD38BD">
              <w:rPr>
                <w:rFonts w:ascii="Calibri" w:hAnsi="Calibri" w:cs="Arial"/>
                <w:i/>
                <w:color w:val="548DD4"/>
                <w:sz w:val="20"/>
                <w:szCs w:val="20"/>
                <w:lang w:eastAsia="es-CL"/>
              </w:rPr>
              <w:t xml:space="preserve"> according to your planning, state the reasons why you have not been able to meet those deadlines and what strategies you will use to move forward with those activities so that your APT project is not affected. </w:t>
            </w:r>
            <w:r>
              <w:rPr>
                <w:rFonts w:ascii="Calibri" w:hAnsi="Calibri" w:cs="Arial"/>
                <w:i/>
                <w:color w:val="548DD4"/>
                <w:sz w:val="20"/>
                <w:szCs w:val="20"/>
                <w:lang w:eastAsia="es-CL"/>
              </w:rPr>
            </w:r>
            <w:r w:rsidRPr="00CD38BD">
              <w:rPr>
                <w:rFonts w:ascii="Calibri" w:hAnsi="Calibri" w:cs="Arial"/>
                <w:i/>
                <w:color w:val="548DD4"/>
                <w:sz w:val="20"/>
                <w:szCs w:val="20"/>
                <w:lang w:eastAsia="es-CL"/>
              </w:rPr>
            </w:r>
            <w:r>
              <w:rPr>
                <w:rFonts w:ascii="Calibri" w:hAnsi="Calibri" w:cs="Arial"/>
                <w:i/>
                <w:color w:val="548DD4"/>
                <w:sz w:val="20"/>
                <w:szCs w:val="20"/>
                <w:lang w:eastAsia="es-CL"/>
              </w:rPr>
            </w:r>
            <w:r w:rsidRPr="00CD38BD">
              <w:rPr>
                <w:rFonts w:ascii="Calibri" w:hAnsi="Calibri" w:cs="Arial"/>
                <w:i/>
                <w:color w:val="548DD4"/>
                <w:sz w:val="20"/>
                <w:szCs w:val="20"/>
                <w:lang w:eastAsia="es-CL"/>
              </w:rPr>
            </w:r>
          </w:p>
          <w:p>
            <w:pPr>
              <w:spacing w:after="80"/>
              <w:jc w:val="both"/>
            </w:pPr>
            <w:r>
              <w:rPr>
                <w:rFonts w:ascii="Calibri" w:hAnsi="Calibri"/>
                <w:b w:val="0"/>
                <w:i w:val="0"/>
                <w:color w:val="000000"/>
                <w:sz w:val="20"/>
              </w:rPr>
              <w:t>As of the date of this report (week 7 of 13), the activities not started correspond to activities that, according to the planning, were not yet due to begin. No activities are recorded as delayed with respect to the Gantt chart; the only reformulated activity is that of the informed consent forms, reported as adjusted in the work plan.</w:t>
            </w:r>
          </w:p>
          <w:p>
            <w:pPr>
              <w:spacing w:after="80"/>
              <w:jc w:val="both"/>
            </w:pPr>
            <w:r>
              <w:rPr>
                <w:rFonts w:ascii="Calibri" w:hAnsi="Calibri"/>
                <w:b w:val="0"/>
                <w:i w:val="0"/>
                <w:color w:val="000000"/>
                <w:sz w:val="20"/>
              </w:rPr>
              <w:t>Execution of field testing (W8 – W11): not started, as planned. Its start depends on two prior conditions: confirmation from the educational institution and receipt of the informed consent forms from parents and guardians. As of today neither has been met, so there is a risk that the start may shift with respect to week 8. The strategy for not compromising the project consists of managing contact with more than one institution in parallel, keeping the consent document already drafted and ready to distribute as soon as there is a confirmation, and keeping the test builds operational on the headset so that the intervention can be carried out as soon as the available window opens. If the confirmation arrives after 28 September, the shift is absorbed by the semester's five-week contingency margin, without encroaching on Phase 3.</w:t>
            </w:r>
          </w:p>
          <w:p>
            <w:pPr>
              <w:spacing w:after="80"/>
              <w:jc w:val="both"/>
            </w:pPr>
            <w:r>
              <w:rPr>
                <w:rFonts w:ascii="Calibri" w:hAnsi="Calibri"/>
                <w:b w:val="0"/>
                <w:i w:val="0"/>
                <w:color w:val="000000"/>
                <w:sz w:val="20"/>
              </w:rPr>
              <w:t>Transmission of data to the cloud (W10 – W11): not started, as planned, since it requires having the data captured during the sessions. As a preventive strategy, the architecture and the cloud services are being left operational and documented in advance, so that this activity is reduced to executing the transmission and not to implementing it.</w:t>
            </w:r>
          </w:p>
          <w:p>
            <w:pPr>
              <w:spacing w:after="80"/>
              <w:jc w:val="both"/>
            </w:pPr>
            <w:r>
              <w:rPr>
                <w:rFonts w:ascii="Calibri" w:hAnsi="Calibri"/>
                <w:b w:val="0"/>
                <w:i w:val="0"/>
                <w:color w:val="000000"/>
                <w:sz w:val="20"/>
              </w:rPr>
              <w:t>Closure, defence and final submission (W12 – W13): not started, as planned. This is mitigated by working from now on on the formal Phase 2 documentation, so that the closure consists of consolidating and rehearsing, and not of writing from scratch.</w:t>
            </w:r>
          </w:p>
          <w:p>
            <w:pPr>
              <w:spacing w:after="80"/>
              <w:jc w:val="both"/>
            </w:pPr>
            <w:r>
              <w:rPr>
                <w:rFonts w:ascii="Calibri" w:hAnsi="Calibri"/>
                <w:b w:val="0"/>
                <w:i w:val="0"/>
                <w:color w:val="000000"/>
                <w:sz w:val="20"/>
              </w:rPr>
              <w:t>Activity under special monitoring: Informed consent forms (W5 – W6, adjusted). The document has already been drafted within the planned deadline, but the collection of signatures has not been able to start because it depends on the confirmation of the institution and on agreeing with its management whether communication with parents and guardians is channelled by the school or by the team. That definition will be requested at the first coordination meeting with whichever institution confirms, so as not to consume the available contingency margin; it is the front that the team keeps under weekly monitoring.</w:t>
            </w:r>
          </w:p>
        </w:tc>
      </w:tr>
    </w:tbl>
    <w:p w14:paraId="23A72E3B"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Student Guide - APT Project Development</w:t>
          </w:r>
          <w:r>
            <w:rPr>
              <w:rFonts w:ascii="Century Gothic" w:eastAsia="Century Gothic" w:hAnsi="Century Gothic" w:cs="Century Gothic"/>
              <w:b/>
              <w:color w:val="1D2763"/>
              <w:sz w:val="24"/>
              <w:szCs w:val="24"/>
            </w:rPr>
          </w:r>
          <w:r w:rsidR="00CE0AA8">
            <w:rPr>
              <w:rFonts w:ascii="Century Gothic" w:eastAsia="Century Gothic" w:hAnsi="Century Gothic" w:cs="Century Gothic"/>
              <w:b/>
              <w:color w:val="1D2763"/>
              <w:sz w:val="24"/>
              <w:szCs w:val="24"/>
            </w:rPr>
          </w:r>
          <w:r w:rsidRPr="00C44557">
            <w:rPr>
              <w:rFonts w:ascii="Century Gothic" w:eastAsia="Century Gothic" w:hAnsi="Century Gothic" w:cs="Century Gothic"/>
              <w:b/>
              <w:color w:val="1D2763"/>
              <w:sz w:val="24"/>
              <w:szCs w:val="24"/>
            </w:rPr>
          </w:r>
          <w:r>
            <w:rPr>
              <w:rFonts w:ascii="Century Gothic" w:eastAsia="Century Gothic" w:hAnsi="Century Gothic" w:cs="Century Gothic"/>
              <w:b/>
              <w:color w:val="1D2763"/>
              <w:sz w:val="24"/>
              <w:szCs w:val="24"/>
            </w:rPr>
          </w:r>
          <w:r w:rsidRPr="005673ED">
            <w:rPr>
              <w:rFonts w:ascii="Century Gothic" w:eastAsia="Century Gothic" w:hAnsi="Century Gothic" w:cs="Century Gothic"/>
              <w:b/>
              <w:color w:val="1D2763"/>
              <w:sz w:val="24"/>
              <w:szCs w:val="24"/>
            </w:rPr>
          </w:r>
          <w:r w:rsidRPr="00D100C8">
            <w:rPr>
              <w:rFonts w:ascii="Century Gothic" w:eastAsia="Century Gothic" w:hAnsi="Century Gothic" w:cs="Century Gothic"/>
              <w:b/>
              <w:color w:val="1D2763"/>
              <w:sz w:val="24"/>
              <w:szCs w:val="24"/>
            </w:rPr>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Phase 2</w:t>
          </w:r>
          <w:r>
            <w:rPr>
              <w:rFonts w:ascii="Century Gothic" w:eastAsia="Century Gothic" w:hAnsi="Century Gothic" w:cs="Century Gothic"/>
              <w:b/>
              <w:color w:val="1D2763"/>
              <w:sz w:val="24"/>
              <w:szCs w:val="24"/>
            </w:rPr>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eader" Target="header2.xm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