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d853hzg7u5"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Durante la Fase 1 y las primeras semanas de la Fase 2, el equipo concentró el trabajo en dos frentes: la definición formal del proyecto y el diseño de la experiencia inmersiva junto con la arquitectura de telemetría que la sustenta. EmotionLAB VR es un proyecto de continuidad: el equipo viene trabajando sobre él desde el año anterior, cuando la experiencia estaba orientada a estudiantes de educación superior, y esta fase la reorienta a estudiantes de Enseñanza Media incorporando gamificación en la experiencia. La problemática abordada queda delimitada al déficit de gestión emocional de estudiantes de Enseñanza Media frente a una situación puntual de alta exigencia —una exposición oral o una entrevista—, en un establecimiento educacional de la comuna de Viña del Mar y con un grupo mínimo de 20 estudiantes.</w:t>
            </w:r>
            <w:r w:rsidDel="00000000" w:rsidR="00000000" w:rsidRPr="00000000">
              <w:rPr>
                <w:rtl w:val="0"/>
              </w:rPr>
            </w:r>
          </w:p>
          <w:p w:rsidR="00000000" w:rsidDel="00000000" w:rsidP="00000000" w:rsidRDefault="00000000" w:rsidRPr="00000000" w14:paraId="0000000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Planificación y documentación (semanas 1 a 4). Se elaboró y entregó la documentación formal del proyecto: Acta de Constitución, Especificación de Requerimientos (ERS/SRS), Informe Técnico de Definición de Proyecto APT, Guía de Definición de Proyecto APT y Carta Gantt de 13 semanas. En paralelo se habilitó el repositorio institucional del proyecto (CAPSTONE_EMOTIONLAB), con trabajo por ramas y control de versiones en GitHub, y el tablero Kanban en GitHub Projects, donde el equipo registra y sigue las tareas de cada fase.</w:t>
            </w:r>
            <w:r w:rsidDel="00000000" w:rsidR="00000000" w:rsidRPr="00000000">
              <w:rPr>
                <w:rtl w:val="0"/>
              </w:rPr>
            </w:r>
          </w:p>
          <w:p w:rsidR="00000000" w:rsidDel="00000000" w:rsidP="00000000" w:rsidRDefault="00000000" w:rsidRPr="00000000" w14:paraId="00000010">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Objetivo específico 1 — Diseño de la experiencia inmersiva (en curso). El recorrido quedó definido en su secuencia definitiva: sala de espera, primera presentación en sala pequeña con ejercicio de respiración guiada previo, segunda presentación en oficina con audiencia, instancia de retroalimentación con un ejercicio final de respiración guiada y una encuesta breve de autorreporte sobre cómo se siente el estudiante tras la experiencia y, una vez respondida, el paso a la escena de cierre: un minijuego de recolección de patitos en una sala acogedora, como espacio de descompresión positiva. Se definieron además la identidad visual y el componente de gamificación, que es lo que distingue esta versión de la anterior. El desarrollo de las escenas en Unity y la generación de builds de prueba para el visor se encuentran en ejecución.</w:t>
            </w:r>
            <w:r w:rsidDel="00000000" w:rsidR="00000000" w:rsidRPr="00000000">
              <w:rPr>
                <w:rtl w:val="0"/>
              </w:rPr>
            </w:r>
          </w:p>
          <w:p w:rsidR="00000000" w:rsidDel="00000000" w:rsidP="00000000" w:rsidRDefault="00000000" w:rsidRPr="00000000" w14:paraId="00000011">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Objetivo específico 2 — Arquitectura de telemetría. Se definió el flujo de datos del proyecto: la aplicación captura los datos comportamentales del recorrido y los transmite mediante API hacia la nube (AWS), donde quedan disponibles de forma segura para el equipo de IA, que es el encargado del modelo de clasificación y del dashboard dirigido al docente o psicopedagogo. Cabe precisar el alcance: nuestro equipo es responsable del desarrollo y diseño de la aplicación y de la telemetría —captura y transmisión de los datos—, no del modelo ni del dashboard. La arquitectura quedó definida, implementada y documentada con los servicios efectivamente utilizados: transmisión por HTTPS hacia Amazon API Gateway, que invoca funciones AWS Lambda encargadas de registrar la información en Amazon S3, con toda la infraestructura declarada en Terraform. Esta documentación reemplaza el esquema genérico de referencia con el que se trabajó al inicio de la fase, de modo que la evidencia represente la implementación real del proyecto. A ello se suman la definición del modelo de datos, un esquema semiestructurado en formato JSON que la aplicación genera y envía por API Gateway para que la función Lambda lo almacene en Amazon S3, y la validación del flujo de ingesta mediante una prueba de integración y una prueba unitaria, cuyo registro se incluye en las evidencias de avance.</w:t>
            </w:r>
            <w:r w:rsidDel="00000000" w:rsidR="00000000" w:rsidRPr="00000000">
              <w:rPr>
                <w:rtl w:val="0"/>
              </w:rPr>
            </w:r>
          </w:p>
          <w:p w:rsidR="00000000" w:rsidDel="00000000" w:rsidP="00000000" w:rsidRDefault="00000000" w:rsidRPr="00000000" w14:paraId="00000012">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Objetivo específico 3 — Pruebas de campo (planificado para las semanas 8 a 11). El establecimiento educacional ya confirmó su participación y las fechas de intervención quedaron fijadas para el lunes 5 y el martes 6 de octubre (semana 9), por lo que la coordinación con el colegio dejó de ser una variable pendiente. El material estandarizado de contacto y la presentación del proyecto, junto con la Carta de Compromiso institucional, fueron los instrumentos que permitieron cerrar esta gestión. Las pruebas de campo se ejecutarán en esas fechas, una vez resuelta la distribución de los consentimientos informados a los apoderados.</w:t>
            </w:r>
            <w:r w:rsidDel="00000000" w:rsidR="00000000" w:rsidRPr="00000000">
              <w:rPr>
                <w:rtl w:val="0"/>
              </w:rPr>
            </w:r>
          </w:p>
          <w:p w:rsidR="00000000" w:rsidDel="00000000" w:rsidP="00000000" w:rsidRDefault="00000000" w:rsidRPr="00000000" w14:paraId="00000013">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Objetivo específico 4 — Protección de la privacidad (transversal, en curso). El diseño de la telemetría no contempla la captura de datos identificatorios: los registros de sesión son anónimos y no permiten reconocer a un estudiante en particular. Al tratarse de estudiantes adolescentes, el documento de consentimiento informado para los apoderados ya fue elaborado y se encuentra disponible en su formato definitivo. Con el establecimiento confirmado, la gestión de firmas puede iniciarse: queda por acordar con su dirección la vía de distribución y recepción de las autorizaciones, y esta etapa se completará antes de la fecha de inicio de las pruebas de campo.</w:t>
            </w:r>
            <w:r w:rsidDel="00000000" w:rsidR="00000000" w:rsidRPr="00000000">
              <w:rPr>
                <w:rtl w:val="0"/>
              </w:rPr>
            </w:r>
          </w:p>
          <w:p w:rsidR="00000000" w:rsidDel="00000000" w:rsidP="00000000" w:rsidRDefault="00000000" w:rsidRPr="00000000" w14:paraId="00000014">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Ajustes realizados en esta fase. Primero, tras la retroalimentación del docente se reencuadró el relato del proyecto: EmotionLAB no mide emociones ni las convierte en información, sino que convierte datos comportamentales en información útil para la toma de decisiones del docente o psicopedagogo. Este ajuste de enfoque se aplicó a la presentación del proyecto y a la documentación en curso. Segundo, se ajustó la duración de las pruebas de campo de 3 a 4 semanas (semanas 8 a 11, del 28 de septiembre al 25 de octubre), para hacerla consistente con el objetivo específico de intervenir 2 veces por semana durante 1 mes. Los objetivos general y específicos definidos en la Fase 1 se mantienen sin modificaciones.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Los objetivos definidos en la Fase 1 se mantienen sin modificaciones. Se reproducen a continuación para efectos de seguimiento del avance:</w:t>
            </w:r>
            <w:r w:rsidDel="00000000" w:rsidR="00000000" w:rsidRPr="00000000">
              <w:rPr>
                <w:rtl w:val="0"/>
              </w:rPr>
            </w:r>
          </w:p>
          <w:p w:rsidR="00000000" w:rsidDel="00000000" w:rsidP="00000000" w:rsidRDefault="00000000" w:rsidRPr="00000000" w14:paraId="0000001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Objetivo general: Diseñar y desarrollar una experiencia de Realidad Virtual para la regulación emocional de estudiantes de Enseñanza Media frente a situaciones de exposición o entrevista, junto con la arquitectura de telemetría que captura y transmite los datos comportamentales al equipo de IA, encargado de clasificarlos y generar los insights que apoyan la toma de decisiones del docente o psicopedagogo, durante el segundo semestre de 2026.</w:t>
            </w:r>
            <w:r w:rsidDel="00000000" w:rsidR="00000000" w:rsidRPr="00000000">
              <w:rPr>
                <w:rtl w:val="0"/>
              </w:rPr>
            </w:r>
          </w:p>
          <w:p w:rsidR="00000000" w:rsidDel="00000000" w:rsidP="00000000" w:rsidRDefault="00000000" w:rsidRPr="00000000" w14:paraId="0000001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Objetivos específicos:</w:t>
            </w:r>
            <w:r w:rsidDel="00000000" w:rsidR="00000000" w:rsidRPr="00000000">
              <w:rPr>
                <w:rtl w:val="0"/>
              </w:rPr>
            </w:r>
          </w:p>
          <w:p w:rsidR="00000000" w:rsidDel="00000000" w:rsidP="00000000" w:rsidRDefault="00000000" w:rsidRPr="00000000" w14:paraId="0000001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1. Diseñar la experiencia inmersiva en Realidad Virtual para estudiantes de Enseñanza Media, incluyendo sus escenarios, el ejercicio de respiración guiada y el cierre gamificado.</w:t>
            </w:r>
            <w:r w:rsidDel="00000000" w:rsidR="00000000" w:rsidRPr="00000000">
              <w:rPr>
                <w:rtl w:val="0"/>
              </w:rPr>
            </w:r>
          </w:p>
          <w:p w:rsidR="00000000" w:rsidDel="00000000" w:rsidP="00000000" w:rsidRDefault="00000000" w:rsidRPr="00000000" w14:paraId="0000001A">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2. Construir la arquitectura de telemetría que captura los datos comportamentales del recorrido y los transmite mediante API hacia la nube para su almacenamiento seguro.</w:t>
            </w:r>
            <w:r w:rsidDel="00000000" w:rsidR="00000000" w:rsidRPr="00000000">
              <w:rPr>
                <w:rtl w:val="0"/>
              </w:rPr>
            </w:r>
          </w:p>
          <w:p w:rsidR="00000000" w:rsidDel="00000000" w:rsidP="00000000" w:rsidRDefault="00000000" w:rsidRPr="00000000" w14:paraId="0000001B">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3. Ejecutar pruebas de campo coordinadas con el colegio participante, interviniendo un grupo mínimo de 20 estudiantes, 2 veces a la semana durante 1 mes.</w:t>
            </w:r>
            <w:r w:rsidDel="00000000" w:rsidR="00000000" w:rsidRPr="00000000">
              <w:rPr>
                <w:rtl w:val="0"/>
              </w:rPr>
            </w:r>
          </w:p>
          <w:p w:rsidR="00000000" w:rsidDel="00000000" w:rsidP="00000000" w:rsidRDefault="00000000" w:rsidRPr="00000000" w14:paraId="0000001C">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4. Proteger la privacidad de los datos mediante técnicas de anonimización y cumplimiento de las normativas vigentes sobre información confidencial de estudiantes adolescentes.</w:t>
            </w:r>
            <w:r w:rsidDel="00000000" w:rsidR="00000000" w:rsidRPr="00000000">
              <w:rPr>
                <w:rtl w:val="0"/>
              </w:rPr>
            </w:r>
          </w:p>
          <w:p w:rsidR="00000000" w:rsidDel="00000000" w:rsidP="00000000" w:rsidRDefault="00000000" w:rsidRPr="00000000" w14:paraId="0000001D">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Única precisión introducida en esta fase: la planificación del objetivo específico 3 se extendió de 3 a 4 semanas en el plan de trabajo, de modo que la duración planificada sea consistente con la frecuencia comprometida (2 sesiones semanales durante 1 mes). El objetivo, tal como fue formulado, no cambia.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Se mantiene la metodología ágil Kanban gestionada mediante un tablero visual en GitHub Projects, con columnas de estado (Backlog, To do, In progress y Done) y revisión semanal del equipo. La metodología sigue siendo pertinente porque el proyecto tiene etapas dependientes entre sí y las pruebas de campo están condicionadas a la disponibilidad del establecimiento educacional, lo que hace poco conveniente trabajar con sprints de duración fija. El flujo de trabajo se rige por dos acuerdos explícitos del equipo: una definición de terminado, según la cual una tarea pasa a</w:t>
            </w:r>
            <w:r w:rsidDel="00000000" w:rsidR="00000000" w:rsidRPr="00000000">
              <w:rPr>
                <w:rFonts w:ascii="Calibri" w:cs="Calibri" w:eastAsia="Calibri" w:hAnsi="Calibri"/>
                <w:b w:val="0"/>
                <w:bCs w:val="0"/>
                <w:i w:val="0"/>
                <w:iCs w:val="0"/>
                <w:color w:val="000000"/>
                <w:sz w:val="20"/>
                <w:szCs w:val="20"/>
                <w:rtl w:val="0"/>
              </w:rPr>
              <w:t xml:space="preserve"> Done s</w:t>
            </w:r>
            <w:r w:rsidDel="00000000" w:rsidR="00000000" w:rsidRPr="00000000">
              <w:rPr>
                <w:rFonts w:ascii="Calibri" w:cs="Calibri" w:eastAsia="Calibri" w:hAnsi="Calibri"/>
                <w:b w:val="0"/>
                <w:bCs w:val="0"/>
                <w:i w:val="0"/>
                <w:iCs w:val="0"/>
                <w:color w:val="000000"/>
                <w:sz w:val="20"/>
                <w:szCs w:val="20"/>
                <w:rtl w:val="0"/>
              </w:rPr>
              <w:t xml:space="preserve">olo cuando el cambio está integrado en la rama principal y verificado en el entorno que corresponda —el visor para la experiencia, la nube para la telemetría—; y la revisión semanal del tablero como instancia fija de coordinación, en la que se actualiza el estado de cada issue, se detectan cuellos de botella y se repriorizan las tareas de la semana siguiente. Como complemento, y a solicitud del docente, el equipo respalda la metodología Scrum/Kanban con documentación adicional: documento de inicio, Product Vision, Product Backlog, Sprint Backlog / tablero, Definition of Done, evidencias de los ciclos, retrospectivas, documento de diseño, código, pruebas por ciclo, infraestructura (Terraform), README, manual técnico, innovación y cierre del proyecto, que se gestiona como issues del mismo tablero Kanban. En el </w:t>
            </w:r>
            <w:r w:rsidDel="00000000" w:rsidR="00000000" w:rsidRPr="00000000">
              <w:rPr>
                <w:rFonts w:ascii="Calibri" w:cs="Calibri" w:eastAsia="Calibri" w:hAnsi="Calibri"/>
                <w:b w:val="0"/>
                <w:bCs w:val="0"/>
                <w:i w:val="0"/>
                <w:iCs w:val="0"/>
                <w:color w:val="000000"/>
                <w:sz w:val="20"/>
                <w:szCs w:val="20"/>
                <w:rtl w:val="0"/>
              </w:rPr>
              <w:t xml:space="preserve">caso de la infraestructura,</w:t>
            </w:r>
            <w:r w:rsidDel="00000000" w:rsidR="00000000" w:rsidRPr="00000000">
              <w:rPr>
                <w:rFonts w:ascii="Calibri" w:cs="Calibri" w:eastAsia="Calibri" w:hAnsi="Calibri"/>
                <w:b w:val="0"/>
                <w:bCs w:val="0"/>
                <w:i w:val="0"/>
                <w:iCs w:val="0"/>
                <w:color w:val="000000"/>
                <w:sz w:val="20"/>
                <w:szCs w:val="20"/>
                <w:rtl w:val="0"/>
              </w:rPr>
              <w:t xml:space="preserve"> el despliegue se realiza con Terraform en lugar de Docker porque el backend del proyecto es serverless sobre AWS (API Gateway, Lambda y S3), por lo que en producción no existen servidores ni contenedores que empaquetar; Docker queda acotado a un contenedor liviano para emular y probar localmente la función Lambda durante el desarrollo. La infraestructura como código permite declarar y versionar en el repositorio los recursos de la nube y desplegarlos de forma reproducible en la cuenta AWS Academy, y es además la herramienta que el equipo ya emplea para la arquitectura de telemetría.</w:t>
            </w:r>
            <w:r w:rsidDel="00000000" w:rsidR="00000000" w:rsidRPr="00000000">
              <w:rPr>
                <w:rtl w:val="0"/>
              </w:rPr>
            </w:r>
          </w:p>
          <w:p>
            <w:pPr>
              <w:spacing w:after="80" w:lineRule="auto"/>
              <w:jc w:val="both"/>
              <w:rPr/>
            </w:pPr>
            <w:r>
              <w:rPr>
                <w:rFonts w:ascii="Calibri" w:cs="Calibri" w:eastAsia="Calibri" w:hAnsi="Calibri"/>
                <w:b w:val="0"/>
                <w:bCs w:val="0"/>
                <w:i w:val="0"/>
                <w:iCs w:val="0"/>
                <w:color w:val="000000"/>
                <w:sz w:val="20"/>
                <w:szCs w:val="20"/>
                <w:rtl w:val="0"/>
              </w:rPr>
              <w:t xml:space="preserve">Artefactos de la metodología elaborados a la fecha. De la documentación de respaldo solicitada por el docente ya se elaboraron, para el componente de telemetría (la ingesta de datos en la nube, a cargo de Katalina Pérez), la Product Vision, el Product Backlog, la Definition of Done, y la ficha y la retrospectiva del Ciclo 1, que se presentan a continuación. La justificación de las decisiones técnicas, el modelo de datos y el registro de pruebas del mismo componente se incluyen en las evidencias de avance. El backlog completo del proyecto, incluido el de la experiencia VR, se mantiene en el tablero de GitHub Projects.</w:t>
            </w:r>
          </w:p>
          <w:p>
            <w:pPr>
              <w:spacing w:after="80" w:lineRule="auto"/>
              <w:jc w:val="both"/>
              <w:rPr/>
            </w:pPr>
            <w:r>
              <w:rPr>
                <w:rFonts w:ascii="Calibri" w:cs="Calibri" w:eastAsia="Calibri" w:hAnsi="Calibri"/>
                <w:b w:val="0"/>
                <w:bCs w:val="0"/>
                <w:i w:val="0"/>
                <w:iCs w:val="0"/>
                <w:color w:val="000000"/>
                <w:sz w:val="20"/>
                <w:szCs w:val="20"/>
                <w:rtl w:val="0"/>
              </w:rPr>
              <w:t xml:space="preserve">Product Vision. Para la plataforma EmotionLAB, que necesita capturar y resguardar en la nube los datos comportamentales de cada sesión, el microservicio de ingesta es una solución de backend serverless que permite recepcionar, validar y almacenar la información en formato JSON en Amazon S3. A diferencia de las arquitecturas monolíticas tradicionales, el producto ofrece alta disponibilidad, bajo costo y escalabilidad automática mediante infraestructura como código (Terraform) en AWS.</w:t>
            </w:r>
          </w:p>
          <w:p>
            <w:pPr>
              <w:keepNext w:val="1"/>
              <w:spacing w:after="80" w:lineRule="auto"/>
              <w:jc w:val="both"/>
              <w:rPr/>
            </w:pPr>
            <w:r>
              <w:rPr>
                <w:rFonts w:ascii="Calibri" w:cs="Calibri" w:eastAsia="Calibri" w:hAnsi="Calibri"/>
                <w:b w:val="0"/>
                <w:bCs w:val="0"/>
                <w:i w:val="0"/>
                <w:iCs w:val="0"/>
                <w:color w:val="000000"/>
                <w:sz w:val="20"/>
                <w:szCs w:val="20"/>
                <w:rtl w:val="0"/>
              </w:rPr>
              <w:t xml:space="preserve">Product Backlog. Historias de usuario y tareas del componente, con su prioridad y su estado en el tablero Kanban:</w:t>
            </w:r>
          </w:p>
          <w:tbl>
            <w:tblPr>
              <w:tblStyle w:val="Table3"/>
              <w:tblW w:w="6780" w:type="dxa"/>
              <w:jc w:val="left"/>
              <w:tblInd w:w="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40"/>
              <w:gridCol w:w="1420"/>
              <w:gridCol w:w="2460"/>
              <w:gridCol w:w="980"/>
              <w:gridCol w:w="1180"/>
            </w:tblGrid>
            <w:tr>
              <w:trPr>
                <w:cantSplit w:val="1"/>
                <w:tblHeader w:val="1"/>
              </w:trPr>
              <w:tc>
                <w:tcPr>
                  <w:tcW w:w="74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ID</w:t>
                  </w:r>
                </w:p>
              </w:tc>
              <w:tc>
                <w:tcPr>
                  <w:tcW w:w="142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Historia de usuario / tarea</w:t>
                  </w:r>
                </w:p>
              </w:tc>
              <w:tc>
                <w:tcPr>
                  <w:tcW w:w="246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Descripción / alcance</w:t>
                  </w:r>
                </w:p>
              </w:tc>
              <w:tc>
                <w:tcPr>
                  <w:tcW w:w="98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Prioridad</w:t>
                  </w:r>
                </w:p>
              </w:tc>
              <w:tc>
                <w:tcPr>
                  <w:tcW w:w="118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Estado</w:t>
                  </w:r>
                </w:p>
              </w:tc>
            </w:tr>
            <w:tr>
              <w:trPr>
                <w:cantSplit w:val="1"/>
                <w:tblHeader w:val="0"/>
              </w:trPr>
              <w:tc>
                <w:tcPr>
                  <w:tcW w:w="74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US-01</w:t>
                  </w:r>
                </w:p>
              </w:tc>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Definición de requisitos</w:t>
                  </w:r>
                </w:p>
              </w:tc>
              <w:tc>
                <w:tcPr>
                  <w:tcW w:w="2460" w:type="dxa"/>
                </w:tcPr>
                <w:p>
                  <w:pPr>
                    <w:spacing w:before="40" w:after="40" w:lineRule="auto"/>
                    <w:jc w:val="left"/>
                    <w:rPr/>
                  </w:pPr>
                  <w:r>
                    <w:rPr>
                      <w:rFonts w:ascii="Calibri" w:cs="Calibri" w:eastAsia="Calibri" w:hAnsi="Calibri"/>
                      <w:b w:val="0"/>
                      <w:bCs w:val="0"/>
                      <w:i w:val="0"/>
                      <w:iCs w:val="0"/>
                      <w:color w:val="000000"/>
                      <w:sz w:val="18"/>
                      <w:szCs w:val="18"/>
                      <w:rtl w:val="0"/>
                    </w:rPr>
                    <w:t xml:space="preserve">Redacción del Acta de Constitución y de la ERS del proyecto.</w:t>
                  </w:r>
                </w:p>
              </w:tc>
              <w:tc>
                <w:tcPr>
                  <w:tcW w:w="9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Alta</w:t>
                  </w:r>
                </w:p>
              </w:tc>
              <w:tc>
                <w:tcPr>
                  <w:tcW w:w="11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Done</w:t>
                  </w:r>
                </w:p>
              </w:tc>
            </w:tr>
            <w:tr>
              <w:trPr>
                <w:cantSplit w:val="1"/>
                <w:tblHeader w:val="0"/>
              </w:trPr>
              <w:tc>
                <w:tcPr>
                  <w:tcW w:w="74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US-02</w:t>
                  </w:r>
                </w:p>
              </w:tc>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Repositorio base</w:t>
                  </w:r>
                </w:p>
              </w:tc>
              <w:tc>
                <w:tcPr>
                  <w:tcW w:w="2460" w:type="dxa"/>
                </w:tcPr>
                <w:p>
                  <w:pPr>
                    <w:spacing w:before="40" w:after="40" w:lineRule="auto"/>
                    <w:jc w:val="left"/>
                    <w:rPr/>
                  </w:pPr>
                  <w:r>
                    <w:rPr>
                      <w:rFonts w:ascii="Calibri" w:cs="Calibri" w:eastAsia="Calibri" w:hAnsi="Calibri"/>
                      <w:b w:val="0"/>
                      <w:bCs w:val="0"/>
                      <w:i w:val="0"/>
                      <w:iCs w:val="0"/>
                      <w:color w:val="000000"/>
                      <w:sz w:val="18"/>
                      <w:szCs w:val="18"/>
                      <w:rtl w:val="0"/>
                    </w:rPr>
                    <w:t xml:space="preserve">Creación del repositorio en GitHub con su estructura base de carpetas para la documentación y el código fuente.</w:t>
                  </w:r>
                </w:p>
              </w:tc>
              <w:tc>
                <w:tcPr>
                  <w:tcW w:w="9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Alta</w:t>
                  </w:r>
                </w:p>
              </w:tc>
              <w:tc>
                <w:tcPr>
                  <w:tcW w:w="11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Done</w:t>
                  </w:r>
                </w:p>
              </w:tc>
            </w:tr>
            <w:tr>
              <w:trPr>
                <w:cantSplit w:val="1"/>
                <w:tblHeader w:val="0"/>
              </w:trPr>
              <w:tc>
                <w:tcPr>
                  <w:tcW w:w="74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US-03</w:t>
                  </w:r>
                </w:p>
              </w:tc>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IaC con Terraform</w:t>
                  </w:r>
                </w:p>
              </w:tc>
              <w:tc>
                <w:tcPr>
                  <w:tcW w:w="2460" w:type="dxa"/>
                </w:tcPr>
                <w:p>
                  <w:pPr>
                    <w:spacing w:before="40" w:after="40" w:lineRule="auto"/>
                    <w:jc w:val="left"/>
                    <w:rPr/>
                  </w:pPr>
                  <w:r>
                    <w:rPr>
                      <w:rFonts w:ascii="Calibri" w:cs="Calibri" w:eastAsia="Calibri" w:hAnsi="Calibri"/>
                      <w:b w:val="0"/>
                      <w:bCs w:val="0"/>
                      <w:i w:val="0"/>
                      <w:iCs w:val="0"/>
                      <w:color w:val="000000"/>
                      <w:sz w:val="18"/>
                      <w:szCs w:val="18"/>
                      <w:rtl w:val="0"/>
                    </w:rPr>
                    <w:t xml:space="preserve">Script de Terraform para el aprovisionamiento de AWS Lambda y S3.</w:t>
                  </w:r>
                </w:p>
              </w:tc>
              <w:tc>
                <w:tcPr>
                  <w:tcW w:w="9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Alta</w:t>
                  </w:r>
                </w:p>
              </w:tc>
              <w:tc>
                <w:tcPr>
                  <w:tcW w:w="11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Done</w:t>
                  </w:r>
                </w:p>
              </w:tc>
            </w:tr>
            <w:tr>
              <w:trPr>
                <w:cantSplit w:val="1"/>
                <w:tblHeader w:val="0"/>
              </w:trPr>
              <w:tc>
                <w:tcPr>
                  <w:tcW w:w="74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US-04</w:t>
                  </w:r>
                </w:p>
              </w:tc>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Endpoint de ingesta</w:t>
                  </w:r>
                </w:p>
              </w:tc>
              <w:tc>
                <w:tcPr>
                  <w:tcW w:w="2460" w:type="dxa"/>
                </w:tcPr>
                <w:p>
                  <w:pPr>
                    <w:spacing w:before="40" w:after="40" w:lineRule="auto"/>
                    <w:jc w:val="left"/>
                    <w:rPr/>
                  </w:pPr>
                  <w:r>
                    <w:rPr>
                      <w:rFonts w:ascii="Calibri" w:cs="Calibri" w:eastAsia="Calibri" w:hAnsi="Calibri"/>
                      <w:b w:val="0"/>
                      <w:bCs w:val="0"/>
                      <w:i w:val="0"/>
                      <w:iCs w:val="0"/>
                      <w:color w:val="000000"/>
                      <w:sz w:val="18"/>
                      <w:szCs w:val="18"/>
                      <w:rtl w:val="0"/>
                    </w:rPr>
                    <w:t xml:space="preserve">Configuración de API Gateway para la recepción de payloads JSON.</w:t>
                  </w:r>
                </w:p>
              </w:tc>
              <w:tc>
                <w:tcPr>
                  <w:tcW w:w="9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Alta</w:t>
                  </w:r>
                </w:p>
              </w:tc>
              <w:tc>
                <w:tcPr>
                  <w:tcW w:w="11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Done</w:t>
                  </w:r>
                </w:p>
              </w:tc>
            </w:tr>
            <w:tr>
              <w:trPr>
                <w:cantSplit w:val="1"/>
                <w:tblHeader w:val="0"/>
              </w:trPr>
              <w:tc>
                <w:tcPr>
                  <w:tcW w:w="74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US-05</w:t>
                  </w:r>
                </w:p>
              </w:tc>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Pruebas de integración</w:t>
                  </w:r>
                </w:p>
              </w:tc>
              <w:tc>
                <w:tcPr>
                  <w:tcW w:w="2460" w:type="dxa"/>
                </w:tcPr>
                <w:p>
                  <w:pPr>
                    <w:spacing w:before="40" w:after="40" w:lineRule="auto"/>
                    <w:jc w:val="left"/>
                    <w:rPr/>
                  </w:pPr>
                  <w:r>
                    <w:rPr>
                      <w:rFonts w:ascii="Calibri" w:cs="Calibri" w:eastAsia="Calibri" w:hAnsi="Calibri"/>
                      <w:b w:val="0"/>
                      <w:bCs w:val="0"/>
                      <w:i w:val="0"/>
                      <w:iCs w:val="0"/>
                      <w:color w:val="000000"/>
                      <w:sz w:val="18"/>
                      <w:szCs w:val="18"/>
                      <w:rtl w:val="0"/>
                    </w:rPr>
                    <w:t xml:space="preserve">Validación del guardado de JSON en S3 desde el cliente y la API.</w:t>
                  </w:r>
                </w:p>
              </w:tc>
              <w:tc>
                <w:tcPr>
                  <w:tcW w:w="9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Media</w:t>
                  </w:r>
                </w:p>
              </w:tc>
              <w:tc>
                <w:tcPr>
                  <w:tcW w:w="11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Done</w:t>
                  </w:r>
                </w:p>
              </w:tc>
            </w:tr>
            <w:tr>
              <w:trPr>
                <w:cantSplit w:val="1"/>
                <w:tblHeader w:val="0"/>
              </w:trPr>
              <w:tc>
                <w:tcPr>
                  <w:tcW w:w="74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US-06</w:t>
                  </w:r>
                </w:p>
              </w:tc>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Documentación de arquitectura</w:t>
                  </w:r>
                </w:p>
              </w:tc>
              <w:tc>
                <w:tcPr>
                  <w:tcW w:w="2460" w:type="dxa"/>
                </w:tcPr>
                <w:p>
                  <w:pPr>
                    <w:spacing w:before="40" w:after="40" w:lineRule="auto"/>
                    <w:jc w:val="left"/>
                    <w:rPr/>
                  </w:pPr>
                  <w:r>
                    <w:rPr>
                      <w:rFonts w:ascii="Calibri" w:cs="Calibri" w:eastAsia="Calibri" w:hAnsi="Calibri"/>
                      <w:b w:val="0"/>
                      <w:bCs w:val="0"/>
                      <w:i w:val="0"/>
                      <w:iCs w:val="0"/>
                      <w:color w:val="000000"/>
                      <w:sz w:val="18"/>
                      <w:szCs w:val="18"/>
                      <w:rtl w:val="0"/>
                    </w:rPr>
                    <w:t xml:space="preserve">Diagrama de componentes y guía de despliegue en el informe.</w:t>
                  </w:r>
                </w:p>
              </w:tc>
              <w:tc>
                <w:tcPr>
                  <w:tcW w:w="9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Media</w:t>
                  </w:r>
                </w:p>
              </w:tc>
              <w:tc>
                <w:tcPr>
                  <w:tcW w:w="1180" w:type="dxa"/>
                </w:tcPr>
                <w:p>
                  <w:pPr>
                    <w:spacing w:before="40" w:after="40" w:lineRule="auto"/>
                    <w:jc w:val="center"/>
                    <w:rPr/>
                  </w:pPr>
                  <w:r>
                    <w:rPr>
                      <w:rFonts w:ascii="Calibri" w:cs="Calibri" w:eastAsia="Calibri" w:hAnsi="Calibri"/>
                      <w:b w:val="0"/>
                      <w:bCs w:val="0"/>
                      <w:i w:val="0"/>
                      <w:iCs w:val="0"/>
                      <w:color w:val="000000"/>
                      <w:sz w:val="18"/>
                      <w:szCs w:val="18"/>
                      <w:rtl w:val="0"/>
                    </w:rPr>
                    <w:t xml:space="preserve">In progress</w:t>
                  </w:r>
                </w:p>
              </w:tc>
            </w:tr>
          </w:tbl>
          <w:p>
            <w:pPr>
              <w:spacing w:before="80" w:after="80" w:lineRule="auto"/>
              <w:jc w:val="both"/>
              <w:rPr/>
            </w:pPr>
            <w:r>
              <w:rPr>
                <w:rFonts w:ascii="Calibri" w:cs="Calibri" w:eastAsia="Calibri" w:hAnsi="Calibri"/>
                <w:b w:val="0"/>
                <w:bCs w:val="0"/>
                <w:i w:val="0"/>
                <w:iCs w:val="0"/>
                <w:color w:val="000000"/>
                <w:sz w:val="20"/>
                <w:szCs w:val="20"/>
                <w:rtl w:val="0"/>
              </w:rPr>
              <w:t xml:space="preserve">La historia US-06 sigue en curso: la justificación de arquitectura y la guía de despliegue ya están elaboradas como documentos del proyecto, y resta incorporar al informe el diagrama de componentes y la guía de despliegue.</w:t>
            </w:r>
          </w:p>
          <w:p>
            <w:pPr>
              <w:spacing w:after="80" w:lineRule="auto"/>
              <w:jc w:val="both"/>
              <w:rPr/>
            </w:pPr>
            <w:r>
              <w:rPr>
                <w:rFonts w:ascii="Calibri" w:cs="Calibri" w:eastAsia="Calibri" w:hAnsi="Calibri"/>
                <w:b w:val="0"/>
                <w:bCs w:val="0"/>
                <w:i w:val="0"/>
                <w:iCs w:val="0"/>
                <w:color w:val="000000"/>
                <w:sz w:val="20"/>
                <w:szCs w:val="20"/>
                <w:rtl w:val="0"/>
              </w:rPr>
              <w:t xml:space="preserve">Definition of Done. Para el componente de telemetría, la definición de terminado se formalizó en tres criterios de aceptación. Una tarea o historia de usuario del tablero Kanban se considera terminada (Done) cuando: 1) el código está subido y fusionado en la rama principal del repositorio en GitHub; 2) la infraestructura o la API fue probada con el envío de un JSON funcional hacia Amazon S3; y 3) la documentación técnica o los diagramas están actualizados en la carpeta de documentación del repositorio.</w:t>
            </w:r>
          </w:p>
          <w:p>
            <w:pPr>
              <w:spacing w:after="80" w:lineRule="auto"/>
              <w:jc w:val="both"/>
              <w:rPr/>
            </w:pPr>
            <w:r>
              <w:rPr>
                <w:rFonts w:ascii="Calibri" w:cs="Calibri" w:eastAsia="Calibri" w:hAnsi="Calibri"/>
                <w:b w:val="0"/>
                <w:bCs w:val="0"/>
                <w:i w:val="0"/>
                <w:iCs w:val="0"/>
                <w:color w:val="000000"/>
                <w:sz w:val="20"/>
                <w:szCs w:val="20"/>
                <w:rtl w:val="0"/>
              </w:rPr>
              <w:t xml:space="preserve">Ficha del Ciclo 1 (registro de trabajo Kanban). Ciclo 1: configuración de la infraestructura e ingesta de JSON. Objetivo del ciclo: desplegar la infraestructura serverless en AWS mediante Terraform y validar el flujo de ingesta de archivos JSON en S3. Historias y tareas completadas, tomadas de la columna Done del tablero: definición del Acta de Constitución y de la ERS del proyecto; creación del repositorio y de su estructura base de carpetas; aprovisionamiento de AWS Lambda y S3 con Terraform; y prueba de envío e ingesta de un JSON funcional.</w:t>
            </w:r>
          </w:p>
          <w:p>
            <w:pPr>
              <w:keepNext w:val="1"/>
              <w:spacing w:after="80" w:lineRule="auto"/>
              <w:jc w:val="both"/>
              <w:rPr/>
            </w:pPr>
            <w:r>
              <w:rPr>
                <w:rFonts w:ascii="Calibri" w:cs="Calibri" w:eastAsia="Calibri" w:hAnsi="Calibri"/>
                <w:b w:val="0"/>
                <w:bCs w:val="0"/>
                <w:i w:val="0"/>
                <w:iCs w:val="0"/>
                <w:color w:val="000000"/>
                <w:sz w:val="20"/>
                <w:szCs w:val="20"/>
                <w:rtl w:val="0"/>
              </w:rPr>
              <w:t xml:space="preserve">Retrospectiva del Ciclo 1 (formato Keep / Stop / Start):</w:t>
            </w:r>
          </w:p>
          <w:tbl>
            <w:tblPr>
              <w:tblStyle w:val="Table3"/>
              <w:tblW w:w="6780" w:type="dxa"/>
              <w:jc w:val="left"/>
              <w:tblInd w:w="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80"/>
              <w:gridCol w:w="5000"/>
            </w:tblGrid>
            <w:tr>
              <w:trPr>
                <w:cantSplit w:val="1"/>
                <w:tblHeader w:val="1"/>
              </w:trPr>
              <w:tc>
                <w:tcPr>
                  <w:tcW w:w="178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Categoría</w:t>
                  </w:r>
                </w:p>
              </w:tc>
              <w:tc>
                <w:tcPr>
                  <w:tcW w:w="500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Descripción</w:t>
                  </w:r>
                </w:p>
              </w:tc>
            </w:tr>
            <w:tr>
              <w:trPr>
                <w:cantSplit w:val="1"/>
                <w:tblHeader w:val="0"/>
              </w:trPr>
              <w:tc>
                <w:tcPr>
                  <w:tcW w:w="17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Keep (qué mantener)</w:t>
                  </w:r>
                </w:p>
              </w:tc>
              <w:tc>
                <w:tcPr>
                  <w:tcW w:w="5000" w:type="dxa"/>
                </w:tcPr>
                <w:p>
                  <w:pPr>
                    <w:spacing w:before="40" w:after="40" w:lineRule="auto"/>
                    <w:jc w:val="left"/>
                    <w:rPr/>
                  </w:pPr>
                  <w:r>
                    <w:rPr>
                      <w:rFonts w:ascii="Calibri" w:cs="Calibri" w:eastAsia="Calibri" w:hAnsi="Calibri"/>
                      <w:b w:val="0"/>
                      <w:bCs w:val="0"/>
                      <w:i w:val="0"/>
                      <w:iCs w:val="0"/>
                      <w:color w:val="000000"/>
                      <w:sz w:val="18"/>
                      <w:szCs w:val="18"/>
                      <w:rtl w:val="0"/>
                    </w:rPr>
                    <w:t xml:space="preserve">La buena comunicación interna y el uso del tablero Kanban en GitHub Projects para visibilizar el avance diario de las tareas.</w:t>
                  </w:r>
                </w:p>
              </w:tc>
            </w:tr>
            <w:tr>
              <w:trPr>
                <w:cantSplit w:val="1"/>
                <w:tblHeader w:val="0"/>
              </w:trPr>
              <w:tc>
                <w:tcPr>
                  <w:tcW w:w="17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Stop (qué dejar de hacer)</w:t>
                  </w:r>
                </w:p>
              </w:tc>
              <w:tc>
                <w:tcPr>
                  <w:tcW w:w="5000" w:type="dxa"/>
                </w:tcPr>
                <w:p>
                  <w:pPr>
                    <w:spacing w:before="40" w:after="40" w:lineRule="auto"/>
                    <w:jc w:val="left"/>
                    <w:rPr/>
                  </w:pPr>
                  <w:r>
                    <w:rPr>
                      <w:rFonts w:ascii="Calibri" w:cs="Calibri" w:eastAsia="Calibri" w:hAnsi="Calibri"/>
                      <w:b w:val="0"/>
                      <w:bCs w:val="0"/>
                      <w:i w:val="0"/>
                      <w:iCs w:val="0"/>
                      <w:color w:val="000000"/>
                      <w:sz w:val="18"/>
                      <w:szCs w:val="18"/>
                      <w:rtl w:val="0"/>
                    </w:rPr>
                    <w:t xml:space="preserve">Dejar para el final las dudas técnicas sobre los requisitos, como la confusión entre Docker y AWS; es mejor aclararlas de inmediato en la documentación o con el docente.</w:t>
                  </w:r>
                </w:p>
              </w:tc>
            </w:tr>
            <w:tr>
              <w:trPr>
                <w:cantSplit w:val="1"/>
                <w:tblHeader w:val="0"/>
              </w:trPr>
              <w:tc>
                <w:tcPr>
                  <w:tcW w:w="17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Start (qué empezar a hacer)</w:t>
                  </w:r>
                </w:p>
              </w:tc>
              <w:tc>
                <w:tcPr>
                  <w:tcW w:w="5000" w:type="dxa"/>
                </w:tcPr>
                <w:p>
                  <w:pPr>
                    <w:spacing w:before="40" w:after="40" w:lineRule="auto"/>
                    <w:jc w:val="left"/>
                    <w:rPr/>
                  </w:pPr>
                  <w:r>
                    <w:rPr>
                      <w:rFonts w:ascii="Calibri" w:cs="Calibri" w:eastAsia="Calibri" w:hAnsi="Calibri"/>
                      <w:b w:val="0"/>
                      <w:bCs w:val="0"/>
                      <w:i w:val="0"/>
                      <w:iCs w:val="0"/>
                      <w:color w:val="000000"/>
                      <w:sz w:val="18"/>
                      <w:szCs w:val="18"/>
                      <w:rtl w:val="0"/>
                    </w:rPr>
                    <w:t xml:space="preserve">Documentar los casos de prueba inmediatamente después de realizar la validación técnica en AWS, para no acumular trabajo al cierre de la fase.</w:t>
                  </w:r>
                </w:p>
              </w:tc>
            </w:tr>
          </w:tbl>
          <w:p w:rsidR="00000000" w:rsidDel="00000000" w:rsidP="00000000" w:rsidRDefault="00000000" w:rsidRPr="00000000" w14:paraId="00000020">
            <w:pPr>
              <w:spacing w:before="80"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Durante la Fase 2 se introdujeron los siguientes ajustes operativos, que refinan la metodología sin modificar su enfoque:</w:t>
            </w:r>
            <w:r w:rsidDel="00000000" w:rsidR="00000000" w:rsidRPr="00000000">
              <w:rPr>
                <w:rtl w:val="0"/>
              </w:rPr>
            </w:r>
          </w:p>
          <w:p w:rsidR="00000000" w:rsidDel="00000000" w:rsidP="00000000" w:rsidRDefault="00000000" w:rsidRPr="00000000" w14:paraId="00000021">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 Migración del repositorio de trabajo. El equipo trasladó el trabajo al repositorio CAPSTONE_EMOTIONLAB, que cumple con la convención de nombre exigida por la asignatura y aloja tanto el desarrollo como la documentación APT. El tablero Kanban se configuró de modo que cruza el repositorio original y el nuevo, preservando la trazabilidad de las tareas ya creadas.</w:t>
            </w:r>
            <w:r w:rsidDel="00000000" w:rsidR="00000000" w:rsidRPr="00000000">
              <w:rPr>
                <w:rtl w:val="0"/>
              </w:rPr>
            </w:r>
          </w:p>
          <w:p w:rsidR="00000000" w:rsidDel="00000000" w:rsidP="00000000" w:rsidRDefault="00000000" w:rsidRPr="00000000" w14:paraId="00000022">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b) Estandarización del backlog. Las tareas se registran como issues con una estructura común (descripción y resultado esperado), con etiquetas de clasificación —entre ellas dos etiquetas propias del equipo, cliente y revisión-equipo— y con sub-issues asociados al issue padre cuando la tarea admite descomposición. Esto permite medir el avance por hito y no solo por tarea suelta.</w:t>
            </w:r>
            <w:r w:rsidDel="00000000" w:rsidR="00000000" w:rsidRPr="00000000">
              <w:rPr>
                <w:rtl w:val="0"/>
              </w:rPr>
            </w:r>
          </w:p>
          <w:p w:rsidR="00000000" w:rsidDel="00000000" w:rsidP="00000000" w:rsidRDefault="00000000" w:rsidRPr="00000000" w14:paraId="00000023">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c) Trabajo por ramas. Cada integrante trabaja sobre su propia rama y las integraciones se realizan hacia la rama principal, lo que reduce los conflictos de versión en un proyecto Unity, donde los archivos binarios y de escena son sensibles a la edición simultánea.</w:t>
            </w:r>
            <w:r w:rsidDel="00000000" w:rsidR="00000000" w:rsidRPr="00000000">
              <w:rPr>
                <w:rtl w:val="0"/>
              </w:rPr>
            </w:r>
          </w:p>
          <w:p w:rsidR="00000000" w:rsidDel="00000000" w:rsidP="00000000" w:rsidRDefault="00000000" w:rsidRPr="00000000" w14:paraId="00000024">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Los roles definidos en la Fase 1 se mantienen: Constanza Quiero, documentación formal del proyecto y gestión de assets del entorno VR; Kathleen Ampuero, pruebas funcionales, corrección de errores y generación de builds APK; Katalina Pérez, integración de la API y administración del entorno en la nube. Las tres integrantes participan transversalmente en las pruebas de la aplicación y en el versionamiento del proyecto.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Las evidencias de avance de este informe son las siete evidencias de tipo avance comprometidas y acordadas con el docente en la Definición del Proyecto APT de la Fase 1. Se mantienen sin cambios y se reportan a continuación como los hitos del proyecto, indicando el estado de cada una y la justificación de por qué da cuenta del logro de las actividades del plan de trabajo:</w:t>
            </w:r>
            <w:r w:rsidDel="00000000" w:rsidR="00000000" w:rsidRPr="00000000">
              <w:rPr>
                <w:rtl w:val="0"/>
              </w:rPr>
            </w:r>
          </w:p>
          <w:p w:rsidR="00000000" w:rsidDel="00000000" w:rsidP="00000000" w:rsidRDefault="00000000" w:rsidRPr="00000000" w14:paraId="0000002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1. Acta de Constitución del Proyecto (completada). Documento formal que define el alcance, los objetivos, los stakeholders y las restricciones del proyecto. Da cuenta del logro de la actividad «Planificación y definición del proyecto» y establece el entendimiento común entre el equipo y el docente, base contra la cual se validará el producto.</w:t>
            </w:r>
            <w:r w:rsidDel="00000000" w:rsidR="00000000" w:rsidRPr="00000000">
              <w:rPr>
                <w:rtl w:val="0"/>
              </w:rPr>
            </w:r>
          </w:p>
          <w:p w:rsidR="00000000" w:rsidDel="00000000" w:rsidP="00000000" w:rsidRDefault="00000000" w:rsidRPr="00000000" w14:paraId="0000002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2. Especificación de Requerimientos (ERS/SRS) (completada). Documento con los requerimientos funcionales y no funcionales del sistema VR. Evidencia que el levantamiento técnico se realizó de manera formal antes de iniciar el desarrollo y constituye el criterio contra el cual se ejecutan las pruebas de la aplicación.</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3. Carta de Compromiso de la entidad interesada (participación confirmada). Documento del establecimiento educacional participante que autoriza la intervención. Da cuenta del logro de la actividad «Coordinación con el colegio participante» y es la condición habilitante de las pruebas de campo. A la fecha de este informe el establecimiento ya confirmó su participación y las pruebas de campo quedaron fijadas para el lunes 5 y el martes 6 de octubre (semana 9); el material de contacto y la presentación del proyecto fueron los instrumentos de esta gestión.</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4. Prototipo funcional VR – build APK (hito completado). Primera versión instalable en el visor Meta Quest, liberada como release v0.1.0, que permite recorrer la experiencia completa de principio a fin: sala de espera, primera presentación en sala pequeña con respiración guiada previa, segunda presentación en oficina con audiencia, retroalimentación con respiración guiada y encuesta breve de autorreporte, y cierre con el minijuego de recolección de patitos. Da cuenta del logro de la actividad «Diseño e implementación del entorno VR» y demuestra el progreso técnico del desarrollo antes de las pruebas de campo. Corresponde a una versión alpha: el recorrido y la funcionalidad base están completos y queda pendiente el pulido visual previsto para el resto de la fase.</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5. Tablero Kanban en GitHub Projects (en uso, con historial). Estado de las tareas por columna e historial de movimiento de los issues, registrados con una estructura común y con sub-issues asociados al issue padre. Evidencia la aplicación efectiva de la metodología declarada y la distribución del trabajo entre las integrantes, y permite medir el avance por hito y no solo por tarea suelta.</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6. Diseño de la experiencia VR (hito completado). Documento y material visual con el recorrido definitivo, los escenarios, el ejercicio de respiración guiada, el cierre gamificado y la identidad visual. Es la evidencia central del alcance de nuestro equipo, ya que somos las responsables del diseño y desarrollo de la aplicación, y es lo que distingue esta versión de la anterior al reorientar la experiencia a Enseñanza Media e incorporar gamificación.</w:t>
            </w: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7. Servicios en AWS operativos (hito completado). Infraestructura de telemetría desplegada y documentada: la aplicación transmite los datos de sesión por HTTPS hacia Amazon API Gateway, que invoca funciones AWS Lambda encargadas de registrar la información en Amazon S3, con toda la infraestructura declarada en Terraform y acompañada de su justificación de arquitectura y su guía de despliegue. Da cuenta del logro de la actividad «Construcción de la arquitectura de datos» y corresponde al hito de dejar la arquitectura definida y las cuentas y servicios en la nube listos para que el equipo de IA se acople, de modo que esa incorporación no condicione nuestro avance.</w:t>
            </w:r>
            <w:r w:rsidDel="00000000" w:rsidR="00000000" w:rsidRPr="00000000">
              <w:rPr>
                <w:rtl w:val="0"/>
              </w:rPr>
            </w:r>
          </w:p>
          <w:p>
            <w:pPr>
              <w:spacing w:after="80" w:lineRule="auto"/>
              <w:jc w:val="both"/>
              <w:rPr/>
            </w:pPr>
            <w:r>
              <w:rPr>
                <w:rFonts w:ascii="Calibri" w:cs="Calibri" w:eastAsia="Calibri" w:hAnsi="Calibri"/>
                <w:b w:val="0"/>
                <w:bCs w:val="0"/>
                <w:i w:val="0"/>
                <w:iCs w:val="0"/>
                <w:color w:val="000000"/>
                <w:sz w:val="20"/>
                <w:szCs w:val="20"/>
                <w:rtl w:val="0"/>
              </w:rPr>
              <w:t xml:space="preserve">Respaldo técnico del componente de telemetría. Como respaldo de la evidencia 7 se detallan el modelo de datos, la justificación de las decisiones técnicas y el registro de pruebas del Ciclo 1.</w:t>
            </w:r>
          </w:p>
          <w:p>
            <w:pPr>
              <w:keepNext w:val="1"/>
              <w:spacing w:after="80" w:lineRule="auto"/>
              <w:jc w:val="both"/>
              <w:rPr/>
            </w:pPr>
            <w:r>
              <w:rPr>
                <w:rFonts w:ascii="Calibri" w:cs="Calibri" w:eastAsia="Calibri" w:hAnsi="Calibri"/>
                <w:b w:val="0"/>
                <w:bCs w:val="0"/>
                <w:i w:val="0"/>
                <w:iCs w:val="0"/>
                <w:color w:val="000000"/>
                <w:sz w:val="20"/>
                <w:szCs w:val="20"/>
                <w:rtl w:val="0"/>
              </w:rPr>
              <w:t xml:space="preserve">Estructura del modelo de datos. En lugar de tablas relacionales, la telemetría utiliza un esquema de datos semiestructurado: un documento JSON que se genera en la aplicación, se envía a través de API Gateway y es procesado por la función Lambda, que lo guarda en Amazon S3 como almacenamiento final de objetos. Cada sesión se identifica con un idParticipante, sin nombre ni otro dato identificatorio, y la edad se registra por rango, en línea con el objetivo específico 4. Ejemplo de registro, con una de las respuestas:</w:t>
            </w:r>
          </w:p>
          <w:tbl>
            <w:tblPr>
              <w:tblStyle w:val="Table3"/>
              <w:tblW w:w="6780" w:type="dxa"/>
              <w:jc w:val="left"/>
              <w:tblInd w:w="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780"/>
            </w:tblGrid>
            <w:tr>
              <w:trPr>
                <w:cantSplit w:val="1"/>
                <w:tblHeader w:val="0"/>
              </w:trPr>
              <w:tc>
                <w:tcPr>
                  <w:tcW w:w="6780" w:type="dxa"/>
                  <w:shd w:val="clear" w:color="auto" w:fill="f2f2f2"/>
                </w:tcPr>
                <w:p>
                  <w:pPr>
                    <w:spacing w:before="60" w:after="0" w:line="240" w:lineRule="auto"/>
                    <w:jc w:val="left"/>
                    <w:rPr/>
                  </w:pPr>
                  <w:r>
                    <w:rPr>
                      <w:rFonts w:ascii="Consolas" w:cs="Consolas" w:eastAsia="Consolas" w:hAnsi="Consolas"/>
                      <w:b w:val="0"/>
                      <w:bCs w:val="0"/>
                      <w:i w:val="0"/>
                      <w:iCs w:val="0"/>
                      <w:color w:val="000000"/>
                      <w:sz w:val="16"/>
                      <w:szCs w:val="16"/>
                      <w:rtl w:val="0"/>
                    </w:rPr>
                    <w:t xml:space="preserve">{</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"idParticipante": "participante_20260930_220039_c947b9ff",</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"fechaInicio": "2026-09-30 22:00:39",</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"fechaFin": "2026-09-30 22:15:38",</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"difficulty_level": "dificil",</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"facilCompletado": true,</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"dificilCompletado": true,</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"retryUsado": false,</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"ultimoModoCompletado": "dificil",</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"respuestas": [</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"escena": "waiting_room_inicial",</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"idPregunta": "edad",</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"textoPregunta": "¿Cuál es tu edad?",</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"respuestaLabel": "+17",</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"respuestaIndex": 5,</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"timestamp": "2026-09-30 22:02:16.359"</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w:t>
                  </w:r>
                </w:p>
                <w:p>
                  <w:pPr>
                    <w:spacing w:before="0" w:after="0" w:line="240" w:lineRule="auto"/>
                    <w:jc w:val="left"/>
                    <w:rPr/>
                  </w:pPr>
                  <w:r>
                    <w:rPr>
                      <w:rFonts w:ascii="Consolas" w:cs="Consolas" w:eastAsia="Consolas" w:hAnsi="Consolas"/>
                      <w:b w:val="0"/>
                      <w:bCs w:val="0"/>
                      <w:i w:val="0"/>
                      <w:iCs w:val="0"/>
                      <w:color w:val="000000"/>
                      <w:sz w:val="16"/>
                      <w:szCs w:val="16"/>
                      <w:rtl w:val="0"/>
                    </w:rPr>
                    <w:t xml:space="preserve">    ]</w:t>
                  </w:r>
                </w:p>
                <w:p>
                  <w:pPr>
                    <w:spacing w:before="0" w:after="60" w:line="240" w:lineRule="auto"/>
                    <w:jc w:val="left"/>
                    <w:rPr/>
                  </w:pPr>
                  <w:r>
                    <w:rPr>
                      <w:rFonts w:ascii="Consolas" w:cs="Consolas" w:eastAsia="Consolas" w:hAnsi="Consolas"/>
                      <w:b w:val="0"/>
                      <w:bCs w:val="0"/>
                      <w:i w:val="0"/>
                      <w:iCs w:val="0"/>
                      <w:color w:val="000000"/>
                      <w:sz w:val="16"/>
                      <w:szCs w:val="16"/>
                      <w:rtl w:val="0"/>
                    </w:rPr>
                    <w:t xml:space="preserve">}</w:t>
                  </w:r>
                </w:p>
              </w:tc>
            </w:tr>
          </w:tbl>
          <w:p>
            <w:pPr>
              <w:keepNext w:val="1"/>
              <w:spacing w:before="80" w:after="80" w:lineRule="auto"/>
              <w:jc w:val="both"/>
              <w:rPr/>
            </w:pPr>
            <w:r>
              <w:rPr>
                <w:rFonts w:ascii="Calibri" w:cs="Calibri" w:eastAsia="Calibri" w:hAnsi="Calibri"/>
                <w:b w:val="0"/>
                <w:bCs w:val="0"/>
                <w:i w:val="0"/>
                <w:iCs w:val="0"/>
                <w:color w:val="000000"/>
                <w:sz w:val="20"/>
                <w:szCs w:val="20"/>
                <w:rtl w:val="0"/>
              </w:rPr>
              <w:t xml:space="preserve">Justificación de las decisiones técnicas (AWS, Terraform y Docker):</w:t>
            </w:r>
          </w:p>
          <w:tbl>
            <w:tblPr>
              <w:tblStyle w:val="Table3"/>
              <w:tblW w:w="6780" w:type="dxa"/>
              <w:jc w:val="left"/>
              <w:tblInd w:w="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750"/>
              <w:gridCol w:w="3330"/>
            </w:tblGrid>
            <w:tr>
              <w:trPr>
                <w:cantSplit w:val="1"/>
                <w:tblHeader w:val="1"/>
              </w:trPr>
              <w:tc>
                <w:tcPr>
                  <w:tcW w:w="170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Decisión técnica</w:t>
                  </w:r>
                </w:p>
              </w:tc>
              <w:tc>
                <w:tcPr>
                  <w:tcW w:w="175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Opción elegida</w:t>
                  </w:r>
                </w:p>
              </w:tc>
              <w:tc>
                <w:tcPr>
                  <w:tcW w:w="333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Razón de la elección</w:t>
                  </w:r>
                </w:p>
              </w:tc>
            </w:tr>
            <w:tr>
              <w:trPr>
                <w:cantSplit w:val="1"/>
                <w:tblHeader w:val="0"/>
              </w:trPr>
              <w:tc>
                <w:tcPr>
                  <w:tcW w:w="1700" w:type="dxa"/>
                </w:tcPr>
                <w:p>
                  <w:pPr>
                    <w:spacing w:before="40" w:after="40" w:lineRule="auto"/>
                    <w:jc w:val="left"/>
                    <w:rPr/>
                  </w:pPr>
                  <w:r>
                    <w:rPr>
                      <w:rFonts w:ascii="Calibri" w:cs="Calibri" w:eastAsia="Calibri" w:hAnsi="Calibri"/>
                      <w:b w:val="0"/>
                      <w:bCs w:val="0"/>
                      <w:i w:val="0"/>
                      <w:iCs w:val="0"/>
                      <w:color w:val="000000"/>
                      <w:sz w:val="18"/>
                      <w:szCs w:val="18"/>
                      <w:rtl w:val="0"/>
                    </w:rPr>
                    <w:t xml:space="preserve">Infraestructura</w:t>
                  </w:r>
                </w:p>
              </w:tc>
              <w:tc>
                <w:tcPr>
                  <w:tcW w:w="1750" w:type="dxa"/>
                </w:tcPr>
                <w:p>
                  <w:pPr>
                    <w:spacing w:before="40" w:after="40" w:lineRule="auto"/>
                    <w:jc w:val="left"/>
                    <w:rPr/>
                  </w:pPr>
                  <w:r>
                    <w:rPr>
                      <w:rFonts w:ascii="Calibri" w:cs="Calibri" w:eastAsia="Calibri" w:hAnsi="Calibri"/>
                      <w:b w:val="0"/>
                      <w:bCs w:val="0"/>
                      <w:i w:val="0"/>
                      <w:iCs w:val="0"/>
                      <w:color w:val="000000"/>
                      <w:sz w:val="18"/>
                      <w:szCs w:val="18"/>
                      <w:rtl w:val="0"/>
                    </w:rPr>
                    <w:t xml:space="preserve">AWS serverless (API Gateway + Lambda + S3)</w:t>
                  </w:r>
                </w:p>
              </w:tc>
              <w:tc>
                <w:tcPr>
                  <w:tcW w:w="3330" w:type="dxa"/>
                </w:tcPr>
                <w:p>
                  <w:pPr>
                    <w:spacing w:before="40" w:after="40" w:lineRule="auto"/>
                    <w:jc w:val="left"/>
                    <w:rPr/>
                  </w:pPr>
                  <w:r>
                    <w:rPr>
                      <w:rFonts w:ascii="Calibri" w:cs="Calibri" w:eastAsia="Calibri" w:hAnsi="Calibri"/>
                      <w:b w:val="0"/>
                      <w:bCs w:val="0"/>
                      <w:i w:val="0"/>
                      <w:iCs w:val="0"/>
                      <w:color w:val="000000"/>
                      <w:sz w:val="18"/>
                      <w:szCs w:val="18"/>
                      <w:rtl w:val="0"/>
                    </w:rPr>
                    <w:t xml:space="preserve">Permite alta disponibilidad y escalabilidad automática sin gestionar servidores. Como el microservicio solo procesa peticiones puntuales (envío de JSON), el costo se reduce a cero cuando está inactivo.</w:t>
                  </w:r>
                </w:p>
              </w:tc>
            </w:tr>
            <w:tr>
              <w:trPr>
                <w:cantSplit w:val="1"/>
                <w:tblHeader w:val="0"/>
              </w:trPr>
              <w:tc>
                <w:tcPr>
                  <w:tcW w:w="1700" w:type="dxa"/>
                </w:tcPr>
                <w:p>
                  <w:pPr>
                    <w:spacing w:before="40" w:after="40" w:lineRule="auto"/>
                    <w:jc w:val="left"/>
                    <w:rPr/>
                  </w:pPr>
                  <w:r>
                    <w:rPr>
                      <w:rFonts w:ascii="Calibri" w:cs="Calibri" w:eastAsia="Calibri" w:hAnsi="Calibri"/>
                      <w:b w:val="0"/>
                      <w:bCs w:val="0"/>
                      <w:i w:val="0"/>
                      <w:iCs w:val="0"/>
                      <w:color w:val="000000"/>
                      <w:sz w:val="18"/>
                      <w:szCs w:val="18"/>
                      <w:rtl w:val="0"/>
                    </w:rPr>
                    <w:t xml:space="preserve">Aprovisionamiento</w:t>
                  </w:r>
                </w:p>
              </w:tc>
              <w:tc>
                <w:tcPr>
                  <w:tcW w:w="1750" w:type="dxa"/>
                </w:tcPr>
                <w:p>
                  <w:pPr>
                    <w:spacing w:before="40" w:after="40" w:lineRule="auto"/>
                    <w:jc w:val="left"/>
                    <w:rPr/>
                  </w:pPr>
                  <w:r>
                    <w:rPr>
                      <w:rFonts w:ascii="Calibri" w:cs="Calibri" w:eastAsia="Calibri" w:hAnsi="Calibri"/>
                      <w:b w:val="0"/>
                      <w:bCs w:val="0"/>
                      <w:i w:val="0"/>
                      <w:iCs w:val="0"/>
                      <w:color w:val="000000"/>
                      <w:sz w:val="18"/>
                      <w:szCs w:val="18"/>
                      <w:rtl w:val="0"/>
                    </w:rPr>
                    <w:t xml:space="preserve">Terraform (IaC, infraestructura como código)</w:t>
                  </w:r>
                </w:p>
              </w:tc>
              <w:tc>
                <w:tcPr>
                  <w:tcW w:w="3330" w:type="dxa"/>
                </w:tcPr>
                <w:p>
                  <w:pPr>
                    <w:spacing w:before="40" w:after="40" w:lineRule="auto"/>
                    <w:jc w:val="left"/>
                    <w:rPr/>
                  </w:pPr>
                  <w:r>
                    <w:rPr>
                      <w:rFonts w:ascii="Calibri" w:cs="Calibri" w:eastAsia="Calibri" w:hAnsi="Calibri"/>
                      <w:b w:val="0"/>
                      <w:bCs w:val="0"/>
                      <w:i w:val="0"/>
                      <w:iCs w:val="0"/>
                      <w:color w:val="000000"/>
                      <w:sz w:val="18"/>
                      <w:szCs w:val="18"/>
                      <w:rtl w:val="0"/>
                    </w:rPr>
                    <w:t xml:space="preserve">Garantiza que toda la infraestructura de AWS quede desplegada de manera automatizada, replicable y documentada como código dentro del repositorio.</w:t>
                  </w:r>
                </w:p>
              </w:tc>
            </w:tr>
            <w:tr>
              <w:trPr>
                <w:cantSplit w:val="1"/>
                <w:tblHeader w:val="0"/>
              </w:trPr>
              <w:tc>
                <w:tcPr>
                  <w:tcW w:w="1700" w:type="dxa"/>
                </w:tcPr>
                <w:p>
                  <w:pPr>
                    <w:spacing w:before="40" w:after="40" w:lineRule="auto"/>
                    <w:jc w:val="left"/>
                    <w:rPr/>
                  </w:pPr>
                  <w:r>
                    <w:rPr>
                      <w:rFonts w:ascii="Calibri" w:cs="Calibri" w:eastAsia="Calibri" w:hAnsi="Calibri"/>
                      <w:b w:val="0"/>
                      <w:bCs w:val="0"/>
                      <w:i w:val="0"/>
                      <w:iCs w:val="0"/>
                      <w:color w:val="000000"/>
                      <w:sz w:val="18"/>
                      <w:szCs w:val="18"/>
                      <w:rtl w:val="0"/>
                    </w:rPr>
                    <w:t xml:space="preserve">Estrategia Docker</w:t>
                  </w:r>
                </w:p>
              </w:tc>
              <w:tc>
                <w:tcPr>
                  <w:tcW w:w="1750" w:type="dxa"/>
                </w:tcPr>
                <w:p>
                  <w:pPr>
                    <w:spacing w:before="40" w:after="40" w:lineRule="auto"/>
                    <w:jc w:val="left"/>
                    <w:rPr/>
                  </w:pPr>
                  <w:r>
                    <w:rPr>
                      <w:rFonts w:ascii="Calibri" w:cs="Calibri" w:eastAsia="Calibri" w:hAnsi="Calibri"/>
                      <w:b w:val="0"/>
                      <w:bCs w:val="0"/>
                      <w:i w:val="0"/>
                      <w:iCs w:val="0"/>
                      <w:color w:val="000000"/>
                      <w:sz w:val="18"/>
                      <w:szCs w:val="18"/>
                      <w:rtl w:val="0"/>
                    </w:rPr>
                    <w:t xml:space="preserve">Docker para el entorno local y las pruebas</w:t>
                  </w:r>
                </w:p>
              </w:tc>
              <w:tc>
                <w:tcPr>
                  <w:tcW w:w="3330" w:type="dxa"/>
                </w:tcPr>
                <w:p>
                  <w:pPr>
                    <w:spacing w:before="40" w:after="40" w:lineRule="auto"/>
                    <w:jc w:val="left"/>
                    <w:rPr/>
                  </w:pPr>
                  <w:r>
                    <w:rPr>
                      <w:rFonts w:ascii="Calibri" w:cs="Calibri" w:eastAsia="Calibri" w:hAnsi="Calibri"/>
                      <w:b w:val="0"/>
                      <w:bCs w:val="0"/>
                      <w:i w:val="0"/>
                      <w:iCs w:val="0"/>
                      <w:color w:val="000000"/>
                      <w:sz w:val="18"/>
                      <w:szCs w:val="18"/>
                      <w:rtl w:val="0"/>
                    </w:rPr>
                    <w:t xml:space="preserve">Se utiliza un contenedor Docker liviano, principalmente para emular y probar localmente la ejecución de la función Lambda durante las pruebas de desarrollo, mientras que la producción corre de forma nativa en AWS.</w:t>
                  </w:r>
                </w:p>
              </w:tc>
            </w:tr>
          </w:tbl>
          <w:p>
            <w:pPr>
              <w:keepNext w:val="1"/>
              <w:spacing w:before="80" w:after="80" w:lineRule="auto"/>
              <w:jc w:val="both"/>
              <w:rPr/>
            </w:pPr>
            <w:r>
              <w:rPr>
                <w:rFonts w:ascii="Calibri" w:cs="Calibri" w:eastAsia="Calibri" w:hAnsi="Calibri"/>
                <w:b w:val="0"/>
                <w:bCs w:val="0"/>
                <w:i w:val="0"/>
                <w:iCs w:val="0"/>
                <w:color w:val="000000"/>
                <w:sz w:val="20"/>
                <w:szCs w:val="20"/>
                <w:rtl w:val="0"/>
              </w:rPr>
              <w:t xml:space="preserve">Registro de pruebas de software del Ciclo 1:</w:t>
            </w:r>
          </w:p>
          <w:tbl>
            <w:tblPr>
              <w:tblStyle w:val="Table3"/>
              <w:tblW w:w="6780" w:type="dxa"/>
              <w:jc w:val="left"/>
              <w:tblInd w:w="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0"/>
              <w:gridCol w:w="2680"/>
              <w:gridCol w:w="2680"/>
            </w:tblGrid>
            <w:tr>
              <w:trPr>
                <w:cantSplit w:val="1"/>
                <w:tblHeader w:val="1"/>
              </w:trPr>
              <w:tc>
                <w:tcPr>
                  <w:tcW w:w="142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Campo</w:t>
                  </w:r>
                </w:p>
              </w:tc>
              <w:tc>
                <w:tcPr>
                  <w:tcW w:w="268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PI-01</w:t>
                  </w:r>
                </w:p>
              </w:tc>
              <w:tc>
                <w:tcPr>
                  <w:tcW w:w="2680" w:type="dxa"/>
                  <w:vAlign w:val="center"/>
                </w:tcPr>
                <w:p>
                  <w:pPr>
                    <w:spacing w:before="40" w:after="40" w:lineRule="auto"/>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PU-01</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Tipo de prueba</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Prueba de integración (envío y almacenamiento de JSON).</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Prueba unitaria (validación de la estructura de datos).</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Nombre</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Validación del almacenamiento de JSON en Amazon S3.</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Validación de campos obligatorios en el payload JSON.</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Componente</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API Gateway → AWS Lambda → Amazon S3.</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Función AWS Lambda de ingesta.</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Precondiciones</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La infraestructura en AWS debe estar desplegada mediante Terraform y el endpoint de API Gateway debe estar activo.</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Ejecución local de la función Lambda con un evento de prueba que contiene un JSON incompleto, sin el identificador de la sesión.</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Pasos</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1. Enviar una petición HTTP POST al endpoint de API Gateway con la estructura JSON de prueba (datos de sesión).</w:t>
                  </w:r>
                </w:p>
                <w:p>
                  <w:pPr>
                    <w:spacing w:before="40" w:after="40" w:lineRule="auto"/>
                    <w:jc w:val="left"/>
                    <w:rPr/>
                  </w:pPr>
                  <w:r>
                    <w:rPr>
                      <w:rFonts w:ascii="Calibri" w:cs="Calibri" w:eastAsia="Calibri" w:hAnsi="Calibri"/>
                      <w:b w:val="0"/>
                      <w:bCs w:val="0"/>
                      <w:i w:val="0"/>
                      <w:iCs w:val="0"/>
                      <w:color w:val="000000"/>
                      <w:sz w:val="18"/>
                      <w:szCs w:val="18"/>
                      <w:rtl w:val="0"/>
                    </w:rPr>
                    <w:t xml:space="preserve">2. Verificar la respuesta del servidor (código HTTP).</w:t>
                  </w:r>
                </w:p>
                <w:p>
                  <w:pPr>
                    <w:spacing w:before="40" w:after="40" w:lineRule="auto"/>
                    <w:jc w:val="left"/>
                    <w:rPr/>
                  </w:pPr>
                  <w:r>
                    <w:rPr>
                      <w:rFonts w:ascii="Calibri" w:cs="Calibri" w:eastAsia="Calibri" w:hAnsi="Calibri"/>
                      <w:b w:val="0"/>
                      <w:bCs w:val="0"/>
                      <w:i w:val="0"/>
                      <w:iCs w:val="0"/>
                      <w:color w:val="000000"/>
                      <w:sz w:val="18"/>
                      <w:szCs w:val="18"/>
                      <w:rtl w:val="0"/>
                    </w:rPr>
                    <w:t xml:space="preserve">3. Revisar el bucket de S3 para confirmar la creación del archivo .json.</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1. Invocar la función enviando un JSON sin el campo identificador de la sesión.</w:t>
                  </w:r>
                </w:p>
                <w:p>
                  <w:pPr>
                    <w:spacing w:before="40" w:after="40" w:lineRule="auto"/>
                    <w:jc w:val="left"/>
                    <w:rPr/>
                  </w:pPr>
                  <w:r>
                    <w:rPr>
                      <w:rFonts w:ascii="Calibri" w:cs="Calibri" w:eastAsia="Calibri" w:hAnsi="Calibri"/>
                      <w:b w:val="0"/>
                      <w:bCs w:val="0"/>
                      <w:i w:val="0"/>
                      <w:iCs w:val="0"/>
                      <w:color w:val="000000"/>
                      <w:sz w:val="18"/>
                      <w:szCs w:val="18"/>
                      <w:rtl w:val="0"/>
                    </w:rPr>
                    <w:t xml:space="preserve">2. Verificar la lógica de captura de errores de la función Lambda.</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Resultado esperado</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Código de respuesta 200 OK y presencia del archivo JSON en el bucket de S3 configurado.</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Código de respuesta 400 Bad Request, indicando el parámetro faltante.</w:t>
                  </w:r>
                </w:p>
              </w:tc>
            </w:tr>
            <w:tr>
              <w:trPr>
                <w:cantSplit w:val="1"/>
                <w:tblHeader w:val="0"/>
              </w:trPr>
              <w:tc>
                <w:tcPr>
                  <w:tcW w:w="1420" w:type="dxa"/>
                </w:tcPr>
                <w:p>
                  <w:pPr>
                    <w:spacing w:before="40" w:after="40" w:lineRule="auto"/>
                    <w:jc w:val="left"/>
                    <w:rPr/>
                  </w:pPr>
                  <w:r>
                    <w:rPr>
                      <w:rFonts w:ascii="Calibri" w:cs="Calibri" w:eastAsia="Calibri" w:hAnsi="Calibri"/>
                      <w:b w:val="0"/>
                      <w:bCs w:val="0"/>
                      <w:i w:val="0"/>
                      <w:iCs w:val="0"/>
                      <w:color w:val="000000"/>
                      <w:sz w:val="18"/>
                      <w:szCs w:val="18"/>
                      <w:rtl w:val="0"/>
                    </w:rPr>
                    <w:t xml:space="preserve">Resultado obtenido</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Exitoso. El archivo JSON se genera correctamente y se almacena en S3 con el identificador de sesión correspondiente.</w:t>
                  </w:r>
                </w:p>
              </w:tc>
              <w:tc>
                <w:tcPr>
                  <w:tcW w:w="2680" w:type="dxa"/>
                </w:tcPr>
                <w:p>
                  <w:pPr>
                    <w:spacing w:before="40" w:after="40" w:lineRule="auto"/>
                    <w:jc w:val="left"/>
                    <w:rPr/>
                  </w:pPr>
                  <w:r>
                    <w:rPr>
                      <w:rFonts w:ascii="Calibri" w:cs="Calibri" w:eastAsia="Calibri" w:hAnsi="Calibri"/>
                      <w:b w:val="0"/>
                      <w:bCs w:val="0"/>
                      <w:i w:val="0"/>
                      <w:iCs w:val="0"/>
                      <w:color w:val="000000"/>
                      <w:sz w:val="18"/>
                      <w:szCs w:val="18"/>
                      <w:rtl w:val="0"/>
                    </w:rPr>
                    <w:t xml:space="preserve">Exitoso. La función rechaza el payload y retorna un mensaje de error controlado, lo que impide guardar datos corruptos.</w:t>
                  </w:r>
                </w:p>
              </w:tc>
            </w:tr>
          </w:tbl>
          <w:p w:rsidR="00000000" w:rsidDel="00000000" w:rsidP="00000000" w:rsidRDefault="00000000" w:rsidRPr="00000000" w14:paraId="0000002E">
            <w:pPr>
              <w:spacing w:before="80"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Resguardo de la calidad. La calidad del proyecto se resguarda mediante prácticas propias de la disciplina: control de versiones y trabajo por ramas en GitHub; gestión del avance con metodología Kanban y revisión semanal; convenciones de nomenclatura y limpieza de la librería de assets de Unity para mantener la trazabilidad del proyecto; pruebas frecuentes de las builds en el visor para validar la experiencia inmersiva y el cumplimiento de los requerimientos no funcionales de rendimiento; pruebas de integración y unitarias de la ingesta de datos, registradas por ciclo; y aplicación de resguardos de privacidad por diseño, capturando únicamente datos anónimos de sesión. Las evidencias señaladas se adjuntan en la carpeta Evidencias de Proyecto del repositorio del equipo, organizadas en Evidencias de Sistema y Evidencias Documentación.</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1">
      <w:pPr>
        <w:spacing w:after="0" w:line="240" w:lineRule="auto"/>
        <w:rPr>
          <w:color w:val="595959"/>
          <w:sz w:val="24"/>
          <w:szCs w:val="24"/>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3"/>
        <w:tblW w:w="148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600"/>
        <w:gridCol w:w="1900"/>
        <w:gridCol w:w="1500"/>
        <w:gridCol w:w="1250"/>
        <w:gridCol w:w="2600"/>
        <w:gridCol w:w="1150"/>
        <w:gridCol w:w="3338"/>
        <w:tblGridChange w:id="0">
          <w:tblGrid>
            <w:gridCol w:w="1500"/>
            <w:gridCol w:w="1600"/>
            <w:gridCol w:w="1900"/>
            <w:gridCol w:w="1500"/>
            <w:gridCol w:w="1250"/>
            <w:gridCol w:w="2600"/>
            <w:gridCol w:w="1150"/>
            <w:gridCol w:w="3338"/>
          </w:tblGrid>
        </w:tblGridChange>
      </w:tblGrid>
      <w:tr>
        <w:trPr>
          <w:cantSplit w:val="0"/>
          <w:trHeight w:val="415" w:hRule="atLeast"/>
          <w:tblHeader w:val="1"/>
        </w:trPr>
        <w:tc>
          <w:tcPr>
            <w:gridSpan w:val="8"/>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4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4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4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4A">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4C">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4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blHeader w:val="0"/>
        </w:trPr>
        <w:tc>
          <w:tcPr/>
          <w:p w:rsidR="00000000" w:rsidDel="00000000" w:rsidP="00000000" w:rsidRDefault="00000000" w:rsidRPr="00000000" w14:paraId="0000004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4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Planificación y definición del proyecto</w:t>
            </w:r>
            <w:r w:rsidDel="00000000" w:rsidR="00000000" w:rsidRPr="00000000">
              <w:rPr>
                <w:rtl w:val="0"/>
              </w:rPr>
            </w:r>
          </w:p>
        </w:tc>
        <w:tc>
          <w:tcPr/>
          <w:p w:rsidR="00000000" w:rsidDel="00000000" w:rsidP="00000000" w:rsidRDefault="00000000" w:rsidRPr="00000000" w14:paraId="0000005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Documentación Duoc UC, reuniones de equipo, GitHub Projects</w:t>
            </w:r>
            <w:r w:rsidDel="00000000" w:rsidR="00000000" w:rsidRPr="00000000">
              <w:rPr>
                <w:rtl w:val="0"/>
              </w:rPr>
            </w:r>
          </w:p>
        </w:tc>
        <w:tc>
          <w:tcPr/>
          <w:p w:rsidR="00000000" w:rsidDel="00000000" w:rsidP="00000000" w:rsidRDefault="00000000" w:rsidRPr="00000000" w14:paraId="0000005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4 semanas (S1 – S4: 10-ago a 06-sep)</w:t>
            </w:r>
            <w:r w:rsidDel="00000000" w:rsidR="00000000" w:rsidRPr="00000000">
              <w:rPr>
                <w:rtl w:val="0"/>
              </w:rPr>
            </w:r>
          </w:p>
        </w:tc>
        <w:tc>
          <w:tcPr/>
          <w:p w:rsidR="00000000" w:rsidDel="00000000" w:rsidP="00000000" w:rsidRDefault="00000000" w:rsidRPr="00000000" w14:paraId="0000005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Constanza Quiero</w:t>
            </w:r>
            <w:r w:rsidDel="00000000" w:rsidR="00000000" w:rsidRPr="00000000">
              <w:rPr>
                <w:rtl w:val="0"/>
              </w:rPr>
            </w:r>
          </w:p>
        </w:tc>
        <w:tc>
          <w:tcPr/>
          <w:p w:rsidR="00000000" w:rsidDel="00000000" w:rsidP="00000000" w:rsidRDefault="00000000" w:rsidRPr="00000000" w14:paraId="0000005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Facilitador: el equipo se coordinó oportunamente en las primeras semanas y el proyecto es de continuidad, lo que agilizó la definición del alcance.</w:t>
            </w:r>
            <w:r w:rsidDel="00000000" w:rsidR="00000000" w:rsidRPr="00000000">
              <w:rPr>
                <w:rtl w:val="0"/>
              </w:rPr>
            </w:r>
          </w:p>
        </w:tc>
        <w:tc>
          <w:tcPr/>
          <w:p w:rsidR="00000000" w:rsidDel="00000000" w:rsidP="00000000" w:rsidRDefault="00000000" w:rsidRPr="00000000" w14:paraId="00000054">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Completado</w:t>
            </w:r>
            <w:r w:rsidDel="00000000" w:rsidR="00000000" w:rsidRPr="00000000">
              <w:rPr>
                <w:rtl w:val="0"/>
              </w:rPr>
            </w:r>
          </w:p>
        </w:tc>
        <w:tc>
          <w:tcPr/>
          <w:p w:rsidR="00000000" w:rsidDel="00000000" w:rsidP="00000000" w:rsidRDefault="00000000" w:rsidRPr="00000000" w14:paraId="00000055">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Sin ajustes. Se incorporaron las correcciones del docente a la documentación entregada.</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Desarrollo de Soluciones Tecnológicas</w:t>
            </w:r>
            <w:r w:rsidDel="00000000" w:rsidR="00000000" w:rsidRPr="00000000">
              <w:rPr>
                <w:rtl w:val="0"/>
              </w:rPr>
            </w:r>
          </w:p>
        </w:tc>
        <w:tc>
          <w:tcPr/>
          <w:p w:rsidR="00000000" w:rsidDel="00000000" w:rsidP="00000000" w:rsidRDefault="00000000" w:rsidRPr="00000000" w14:paraId="0000005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Diseño e implementación del entorno VR</w:t>
            </w:r>
            <w:r w:rsidDel="00000000" w:rsidR="00000000" w:rsidRPr="00000000">
              <w:rPr>
                <w:rtl w:val="0"/>
              </w:rPr>
            </w:r>
          </w:p>
        </w:tc>
        <w:tc>
          <w:tcPr/>
          <w:p w:rsidR="00000000" w:rsidDel="00000000" w:rsidP="00000000" w:rsidRDefault="00000000" w:rsidRPr="00000000" w14:paraId="0000005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Equipo computacional, Unity (URP), visor Meta Quest</w:t>
            </w:r>
            <w:r w:rsidDel="00000000" w:rsidR="00000000" w:rsidRPr="00000000">
              <w:rPr>
                <w:rtl w:val="0"/>
              </w:rPr>
            </w:r>
          </w:p>
        </w:tc>
        <w:tc>
          <w:tcPr/>
          <w:p w:rsidR="00000000" w:rsidDel="00000000" w:rsidP="00000000" w:rsidRDefault="00000000" w:rsidRPr="00000000" w14:paraId="0000005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5 semanas (S5 – S9: 07-sep a 11-oct)</w:t>
            </w:r>
            <w:r w:rsidDel="00000000" w:rsidR="00000000" w:rsidRPr="00000000">
              <w:rPr>
                <w:rtl w:val="0"/>
              </w:rPr>
            </w:r>
          </w:p>
        </w:tc>
        <w:tc>
          <w:tcPr/>
          <w:p w:rsidR="00000000" w:rsidDel="00000000" w:rsidP="00000000" w:rsidRDefault="00000000" w:rsidRPr="00000000" w14:paraId="0000005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Kathleen Ampuero</w:t>
            </w:r>
            <w:r w:rsidDel="00000000" w:rsidR="00000000" w:rsidRPr="00000000">
              <w:rPr>
                <w:rtl w:val="0"/>
              </w:rPr>
            </w:r>
          </w:p>
        </w:tc>
        <w:tc>
          <w:tcPr/>
          <w:p w:rsidR="00000000" w:rsidDel="00000000" w:rsidP="00000000" w:rsidRDefault="00000000" w:rsidRPr="00000000" w14:paraId="0000005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Requiere pruebas frecuentes en el visor para validar la experiencia inmersiva y el rendimiento.</w:t>
            </w:r>
            <w:r w:rsidDel="00000000" w:rsidR="00000000" w:rsidRPr="00000000">
              <w:rPr>
                <w:rtl w:val="0"/>
              </w:rPr>
            </w:r>
          </w:p>
        </w:tc>
        <w:tc>
          <w:tcPr/>
          <w:p w:rsidR="00000000" w:rsidDel="00000000" w:rsidP="00000000" w:rsidRDefault="00000000" w:rsidRPr="00000000" w14:paraId="0000005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En curso</w:t>
            </w:r>
            <w:r w:rsidDel="00000000" w:rsidR="00000000" w:rsidRPr="00000000">
              <w:rPr>
                <w:rtl w:val="0"/>
              </w:rPr>
            </w:r>
          </w:p>
        </w:tc>
        <w:tc>
          <w:tcPr/>
          <w:p w:rsidR="00000000" w:rsidDel="00000000" w:rsidP="00000000" w:rsidRDefault="00000000" w:rsidRPr="00000000" w14:paraId="0000005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Se incorporó el minijuego de recolección de patitos como escena de cierre gamificado, ajuste derivado de la reorientación de la experiencia a estudiantes de Enseñanza Media.</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Arquitectura y Gestión de la Información</w:t>
            </w:r>
            <w:r w:rsidDel="00000000" w:rsidR="00000000" w:rsidRPr="00000000">
              <w:rPr>
                <w:rtl w:val="0"/>
              </w:rPr>
            </w:r>
          </w:p>
        </w:tc>
        <w:tc>
          <w:tcPr/>
          <w:p w:rsidR="00000000" w:rsidDel="00000000" w:rsidP="00000000" w:rsidRDefault="00000000" w:rsidRPr="00000000" w14:paraId="0000005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Construcción de la arquitectura de datos</w:t>
            </w:r>
            <w:r w:rsidDel="00000000" w:rsidR="00000000" w:rsidRPr="00000000">
              <w:rPr>
                <w:rtl w:val="0"/>
              </w:rPr>
            </w:r>
          </w:p>
        </w:tc>
        <w:tc>
          <w:tcPr/>
          <w:p w:rsidR="00000000" w:rsidDel="00000000" w:rsidP="00000000" w:rsidRDefault="00000000" w:rsidRPr="00000000" w14:paraId="0000006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Cuenta y servicios AWS (API Gateway, Lambda, S3), Terraform, documentación técnica</w:t>
            </w:r>
            <w:r w:rsidDel="00000000" w:rsidR="00000000" w:rsidRPr="00000000">
              <w:rPr>
                <w:rtl w:val="0"/>
              </w:rPr>
            </w:r>
          </w:p>
        </w:tc>
        <w:tc>
          <w:tcPr/>
          <w:p w:rsidR="00000000" w:rsidDel="00000000" w:rsidP="00000000" w:rsidRDefault="00000000" w:rsidRPr="00000000" w14:paraId="0000006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4 semanas (S5 – S8: 07-sep a 04-oct)</w:t>
            </w:r>
            <w:r w:rsidDel="00000000" w:rsidR="00000000" w:rsidRPr="00000000">
              <w:rPr>
                <w:rtl w:val="0"/>
              </w:rPr>
            </w:r>
          </w:p>
        </w:tc>
        <w:tc>
          <w:tcPr/>
          <w:p w:rsidR="00000000" w:rsidDel="00000000" w:rsidP="00000000" w:rsidRDefault="00000000" w:rsidRPr="00000000" w14:paraId="0000006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Katalina Pérez</w:t>
            </w:r>
            <w:r w:rsidDel="00000000" w:rsidR="00000000" w:rsidRPr="00000000">
              <w:rPr>
                <w:rtl w:val="0"/>
              </w:rPr>
            </w:r>
          </w:p>
        </w:tc>
        <w:tc>
          <w:tcPr/>
          <w:p w:rsidR="00000000" w:rsidDel="00000000" w:rsidP="00000000" w:rsidRDefault="00000000" w:rsidRPr="00000000" w14:paraId="0000006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La calidad de los datos capturados depende del correcto etiquetado desde el entorno VR.</w:t>
            </w:r>
            <w:r w:rsidDel="00000000" w:rsidR="00000000" w:rsidRPr="00000000">
              <w:rPr>
                <w:rtl w:val="0"/>
              </w:rPr>
            </w:r>
          </w:p>
        </w:tc>
        <w:tc>
          <w:tcPr/>
          <w:p w:rsidR="00000000" w:rsidDel="00000000" w:rsidP="00000000" w:rsidRDefault="00000000" w:rsidRPr="00000000" w14:paraId="00000064">
            <w:pPr>
              <w:spacing w:after="80" w:lineRule="auto"/>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Se reemplazó el esquema genérico de referencia por la documentación de la arquitectura efectivamente implementada (API Gateway, Lambda, S3 y Terraform), elaborada por la responsable del área.</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6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Coordinación con el colegio participante</w:t>
            </w:r>
            <w:r w:rsidDel="00000000" w:rsidR="00000000" w:rsidRPr="00000000">
              <w:rPr>
                <w:rtl w:val="0"/>
              </w:rPr>
            </w:r>
          </w:p>
        </w:tc>
        <w:tc>
          <w:tcPr/>
          <w:p w:rsidR="00000000" w:rsidDel="00000000" w:rsidP="00000000" w:rsidRDefault="00000000" w:rsidRPr="00000000" w14:paraId="0000006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Carta de Compromiso, correo institucional, presentación del proyecto</w:t>
            </w:r>
            <w:r w:rsidDel="00000000" w:rsidR="00000000" w:rsidRPr="00000000">
              <w:rPr>
                <w:rtl w:val="0"/>
              </w:rPr>
            </w:r>
          </w:p>
        </w:tc>
        <w:tc>
          <w:tcPr/>
          <w:p w:rsidR="00000000" w:rsidDel="00000000" w:rsidP="00000000" w:rsidRDefault="00000000" w:rsidRPr="00000000" w14:paraId="0000006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3 semanas (S3 – S5: 24-ago a 13-sep); la confirmación del establecimiento se obtuvo en la semana 7</w:t>
            </w:r>
            <w:r w:rsidDel="00000000" w:rsidR="00000000" w:rsidRPr="00000000">
              <w:rPr>
                <w:rtl w:val="0"/>
              </w:rPr>
            </w:r>
          </w:p>
        </w:tc>
        <w:tc>
          <w:tcPr/>
          <w:p w:rsidR="00000000" w:rsidDel="00000000" w:rsidP="00000000" w:rsidRDefault="00000000" w:rsidRPr="00000000" w14:paraId="0000006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Todas las integrantes</w:t>
            </w:r>
            <w:r w:rsidDel="00000000" w:rsidR="00000000" w:rsidRPr="00000000">
              <w:rPr>
                <w:rtl w:val="0"/>
              </w:rPr>
            </w:r>
          </w:p>
        </w:tc>
        <w:tc>
          <w:tcPr/>
          <w:p w:rsidR="00000000" w:rsidDel="00000000" w:rsidP="00000000" w:rsidRDefault="00000000" w:rsidRPr="00000000" w14:paraId="0000006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Dependía de la disponibilidad y de los tiempos de respuesta del establecimiento educacional, que el equipo no controla; la confirmación llegó después de la ventana prevista.</w:t>
            </w:r>
            <w:r w:rsidDel="00000000" w:rsidR="00000000" w:rsidRPr="00000000">
              <w:rPr>
                <w:rtl w:val="0"/>
              </w:rPr>
            </w:r>
          </w:p>
        </w:tc>
        <w:tc>
          <w:tcPr/>
          <w:p w:rsidR="00000000" w:rsidDel="00000000" w:rsidP="00000000" w:rsidRDefault="00000000" w:rsidRPr="00000000" w14:paraId="0000006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Completado</w:t>
            </w:r>
            <w:r w:rsidDel="00000000" w:rsidR="00000000" w:rsidRPr="00000000">
              <w:rPr>
                <w:rtl w:val="0"/>
              </w:rPr>
            </w:r>
          </w:p>
        </w:tc>
        <w:tc>
          <w:tcPr/>
          <w:p w:rsidR="00000000" w:rsidDel="00000000" w:rsidP="00000000" w:rsidRDefault="00000000" w:rsidRPr="00000000" w14:paraId="0000006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Se estandarizó el material de contacto y se gestionó la coordinación con más de un establecimiento en paralelo, para no depender de una única respuesta. El colegio confirmó su participación y las pruebas de campo quedaron fijadas para el lunes 5 y el martes 6 de octubre (semana 9).</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6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Consentimientos informados</w:t>
            </w:r>
            <w:r w:rsidDel="00000000" w:rsidR="00000000" w:rsidRPr="00000000">
              <w:rPr>
                <w:rtl w:val="0"/>
              </w:rPr>
            </w:r>
          </w:p>
        </w:tc>
        <w:tc>
          <w:tcPr/>
          <w:p w:rsidR="00000000" w:rsidDel="00000000" w:rsidP="00000000" w:rsidRDefault="00000000" w:rsidRPr="00000000" w14:paraId="0000007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Documentos de consentimiento, apoyo del colegio</w:t>
            </w:r>
            <w:r w:rsidDel="00000000" w:rsidR="00000000" w:rsidRPr="00000000">
              <w:rPr>
                <w:rtl w:val="0"/>
              </w:rPr>
            </w:r>
          </w:p>
        </w:tc>
        <w:tc>
          <w:tcPr/>
          <w:p w:rsidR="00000000" w:rsidDel="00000000" w:rsidP="00000000" w:rsidRDefault="00000000" w:rsidRPr="00000000" w14:paraId="0000007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2 semanas (S5 – S6: 07-sep a 20-sep) para la elaboración del documento; gestión de firmas a ejecutar con el establecimiento ya confirmado y antes del inicio de las pruebas de campo</w:t>
            </w:r>
            <w:r w:rsidDel="00000000" w:rsidR="00000000" w:rsidRPr="00000000">
              <w:rPr>
                <w:rtl w:val="0"/>
              </w:rPr>
            </w:r>
          </w:p>
        </w:tc>
        <w:tc>
          <w:tcPr/>
          <w:p w:rsidR="00000000" w:rsidDel="00000000" w:rsidP="00000000" w:rsidRDefault="00000000" w:rsidRPr="00000000" w14:paraId="0000007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Todas las integrantes</w:t>
            </w:r>
            <w:r w:rsidDel="00000000" w:rsidR="00000000" w:rsidRPr="00000000">
              <w:rPr>
                <w:rtl w:val="0"/>
              </w:rPr>
            </w:r>
          </w:p>
        </w:tc>
        <w:tc>
          <w:tcPr/>
          <w:p w:rsidR="00000000" w:rsidDel="00000000" w:rsidP="00000000" w:rsidRDefault="00000000" w:rsidRPr="00000000" w14:paraId="0000007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Depende de un tercero: con el establecimiento ya confirmado, falta acordar con su dirección la vía de distribución y recepción de las autorizaciones de los apoderados.</w:t>
            </w:r>
            <w:r w:rsidDel="00000000" w:rsidR="00000000" w:rsidRPr="00000000">
              <w:rPr>
                <w:rtl w:val="0"/>
              </w:rPr>
            </w:r>
          </w:p>
        </w:tc>
        <w:tc>
          <w:tcPr/>
          <w:p w:rsidR="00000000" w:rsidDel="00000000" w:rsidP="00000000" w:rsidRDefault="00000000" w:rsidRPr="00000000" w14:paraId="00000074">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Ajustada</w:t>
            </w:r>
            <w:r w:rsidDel="00000000" w:rsidR="00000000" w:rsidRPr="00000000">
              <w:rPr>
                <w:rtl w:val="0"/>
              </w:rPr>
            </w:r>
          </w:p>
        </w:tc>
        <w:tc>
          <w:tcPr/>
          <w:p w:rsidR="00000000" w:rsidDel="00000000" w:rsidP="00000000" w:rsidRDefault="00000000" w:rsidRPr="00000000" w14:paraId="00000075">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La actividad se separó en dos partes. La elaboración del documento de consentimiento informado se completó dentro de la ventana prevista y el formato está disponible para su distribución. La gestión de firmas se replanificó como una subactividad que, confirmado el establecimiento, se ejecuta en las semanas previas a las fechas fijadas para las pruebas de campo (5 y 6 de octubre) y siempre antes de su inicio.</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Desarrollo de Soluciones Tecnológicas</w:t>
            </w:r>
            <w:r w:rsidDel="00000000" w:rsidR="00000000" w:rsidRPr="00000000">
              <w:rPr>
                <w:rtl w:val="0"/>
              </w:rPr>
            </w:r>
          </w:p>
        </w:tc>
        <w:tc>
          <w:tcPr/>
          <w:p w:rsidR="00000000" w:rsidDel="00000000" w:rsidP="00000000" w:rsidRDefault="00000000" w:rsidRPr="00000000" w14:paraId="0000007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Ejecución de pruebas de campo</w:t>
            </w:r>
            <w:r w:rsidDel="00000000" w:rsidR="00000000" w:rsidRPr="00000000">
              <w:rPr>
                <w:rtl w:val="0"/>
              </w:rPr>
            </w:r>
          </w:p>
        </w:tc>
        <w:tc>
          <w:tcPr/>
          <w:p w:rsidR="00000000" w:rsidDel="00000000" w:rsidP="00000000" w:rsidRDefault="00000000" w:rsidRPr="00000000" w14:paraId="0000007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Visores VR, colegio participante, formularios de captura</w:t>
            </w:r>
            <w:r w:rsidDel="00000000" w:rsidR="00000000" w:rsidRPr="00000000">
              <w:rPr>
                <w:rtl w:val="0"/>
              </w:rPr>
            </w:r>
          </w:p>
        </w:tc>
        <w:tc>
          <w:tcPr/>
          <w:p w:rsidR="00000000" w:rsidDel="00000000" w:rsidP="00000000" w:rsidRDefault="00000000" w:rsidRPr="00000000" w14:paraId="0000007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4 semanas (S8 – S11: 28-sep a 25-oct)</w:t>
            </w:r>
            <w:r w:rsidDel="00000000" w:rsidR="00000000" w:rsidRPr="00000000">
              <w:rPr>
                <w:rtl w:val="0"/>
              </w:rPr>
            </w:r>
          </w:p>
        </w:tc>
        <w:tc>
          <w:tcPr/>
          <w:p w:rsidR="00000000" w:rsidDel="00000000" w:rsidP="00000000" w:rsidRDefault="00000000" w:rsidRPr="00000000" w14:paraId="0000007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Todas las integrantes</w:t>
            </w:r>
            <w:r w:rsidDel="00000000" w:rsidR="00000000" w:rsidRPr="00000000">
              <w:rPr>
                <w:rtl w:val="0"/>
              </w:rPr>
            </w:r>
          </w:p>
        </w:tc>
        <w:tc>
          <w:tcPr/>
          <w:p w:rsidR="00000000" w:rsidDel="00000000" w:rsidP="00000000" w:rsidRDefault="00000000" w:rsidRPr="00000000" w14:paraId="0000007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Depende de la asistencia y disponibilidad de los estudiantes del establecimiento.</w:t>
            </w:r>
            <w:r w:rsidDel="00000000" w:rsidR="00000000" w:rsidRPr="00000000">
              <w:rPr>
                <w:rtl w:val="0"/>
              </w:rPr>
            </w:r>
          </w:p>
        </w:tc>
        <w:tc>
          <w:tcPr/>
          <w:p w:rsidR="00000000" w:rsidDel="00000000" w:rsidP="00000000" w:rsidRDefault="00000000" w:rsidRPr="00000000" w14:paraId="0000007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 iniciado</w:t>
            </w:r>
            <w:r w:rsidDel="00000000" w:rsidR="00000000" w:rsidRPr="00000000">
              <w:rPr>
                <w:rtl w:val="0"/>
              </w:rPr>
            </w:r>
          </w:p>
        </w:tc>
        <w:tc>
          <w:tcPr/>
          <w:p w:rsidR="00000000" w:rsidDel="00000000" w:rsidP="00000000" w:rsidRDefault="00000000" w:rsidRPr="00000000" w14:paraId="0000007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Ajustada: la duración se amplió de 3 a 4 semanas y el inicio se adelantó una semana (S8 en lugar de S9), para ser consistente con el objetivo específico de intervenir 2 veces por semana durante 1 mes, sin invadir la Fase 3.</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Arquitectura y Gestión de la Información</w:t>
            </w:r>
            <w:r w:rsidDel="00000000" w:rsidR="00000000" w:rsidRPr="00000000">
              <w:rPr>
                <w:rtl w:val="0"/>
              </w:rPr>
            </w:r>
          </w:p>
        </w:tc>
        <w:tc>
          <w:tcPr/>
          <w:p w:rsidR="00000000" w:rsidDel="00000000" w:rsidP="00000000" w:rsidRDefault="00000000" w:rsidRPr="00000000" w14:paraId="0000007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Transmisión de datos a la nube</w:t>
            </w:r>
            <w:r w:rsidDel="00000000" w:rsidR="00000000" w:rsidRPr="00000000">
              <w:rPr>
                <w:rtl w:val="0"/>
              </w:rPr>
            </w:r>
          </w:p>
        </w:tc>
        <w:tc>
          <w:tcPr/>
          <w:p w:rsidR="00000000" w:rsidDel="00000000" w:rsidP="00000000" w:rsidRDefault="00000000" w:rsidRPr="00000000" w14:paraId="0000008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AWS (Lambda, Terraform), API, credenciales de acceso</w:t>
            </w:r>
            <w:r w:rsidDel="00000000" w:rsidR="00000000" w:rsidRPr="00000000">
              <w:rPr>
                <w:rtl w:val="0"/>
              </w:rPr>
            </w:r>
          </w:p>
        </w:tc>
        <w:tc>
          <w:tcPr/>
          <w:p w:rsidR="00000000" w:rsidDel="00000000" w:rsidP="00000000" w:rsidRDefault="00000000" w:rsidRPr="00000000" w14:paraId="0000008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2 semanas (S10 – S11: 12-oct a 25-oct)</w:t>
            </w:r>
            <w:r w:rsidDel="00000000" w:rsidR="00000000" w:rsidRPr="00000000">
              <w:rPr>
                <w:rtl w:val="0"/>
              </w:rPr>
            </w:r>
          </w:p>
        </w:tc>
        <w:tc>
          <w:tcPr/>
          <w:p w:rsidR="00000000" w:rsidDel="00000000" w:rsidP="00000000" w:rsidRDefault="00000000" w:rsidRPr="00000000" w14:paraId="0000008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Katalina Pérez</w:t>
            </w:r>
            <w:r w:rsidDel="00000000" w:rsidR="00000000" w:rsidRPr="00000000">
              <w:rPr>
                <w:rtl w:val="0"/>
              </w:rPr>
            </w:r>
          </w:p>
        </w:tc>
        <w:tc>
          <w:tcPr/>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La disponibilidad del entorno en la nube depende de sesiones de activación manual del servicio.</w:t>
            </w:r>
            <w:r w:rsidDel="00000000" w:rsidR="00000000" w:rsidRPr="00000000">
              <w:rPr>
                <w:rtl w:val="0"/>
              </w:rPr>
            </w:r>
          </w:p>
        </w:tc>
        <w:tc>
          <w:tcPr/>
          <w:p w:rsidR="00000000" w:rsidDel="00000000" w:rsidP="00000000" w:rsidRDefault="00000000" w:rsidRPr="00000000" w14:paraId="00000084">
            <w:pPr>
              <w:spacing w:after="80" w:lineRule="auto"/>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85">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Sin ajustes. Queda condicionada al inicio de las pruebas de campo, que son la fuente de los datos a transmitir.</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8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Cierre, defensa y entrega final</w:t>
            </w:r>
            <w:r w:rsidDel="00000000" w:rsidR="00000000" w:rsidRPr="00000000">
              <w:rPr>
                <w:rtl w:val="0"/>
              </w:rPr>
            </w:r>
          </w:p>
        </w:tc>
        <w:tc>
          <w:tcPr/>
          <w:p w:rsidR="00000000" w:rsidDel="00000000" w:rsidP="00000000" w:rsidRDefault="00000000" w:rsidRPr="00000000" w14:paraId="0000008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Documentación final, presentación, comisión evaluadora</w:t>
            </w:r>
            <w:r w:rsidDel="00000000" w:rsidR="00000000" w:rsidRPr="00000000">
              <w:rPr>
                <w:rtl w:val="0"/>
              </w:rPr>
            </w:r>
          </w:p>
        </w:tc>
        <w:tc>
          <w:tcPr/>
          <w:p w:rsidR="00000000" w:rsidDel="00000000" w:rsidP="00000000" w:rsidRDefault="00000000" w:rsidRPr="00000000" w14:paraId="0000008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2 semanas (S12 – S13: 26-oct a 08-nov)</w:t>
            </w:r>
            <w:r w:rsidDel="00000000" w:rsidR="00000000" w:rsidRPr="00000000">
              <w:rPr>
                <w:rtl w:val="0"/>
              </w:rPr>
            </w:r>
          </w:p>
        </w:tc>
        <w:tc>
          <w:tcPr/>
          <w:p w:rsidR="00000000" w:rsidDel="00000000" w:rsidP="00000000" w:rsidRDefault="00000000" w:rsidRPr="00000000" w14:paraId="0000008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Todas las integrantes</w:t>
            </w:r>
            <w:r w:rsidDel="00000000" w:rsidR="00000000" w:rsidRPr="00000000">
              <w:rPr>
                <w:rtl w:val="0"/>
              </w:rPr>
            </w:r>
          </w:p>
        </w:tc>
        <w:tc>
          <w:tcPr/>
          <w:p w:rsidR="00000000" w:rsidDel="00000000" w:rsidP="00000000" w:rsidRDefault="00000000" w:rsidRPr="00000000" w14:paraId="0000008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Requiere coordinar horarios del equipo para los ensayos grupales.</w:t>
            </w:r>
            <w:r w:rsidDel="00000000" w:rsidR="00000000" w:rsidRPr="00000000">
              <w:rPr>
                <w:rtl w:val="0"/>
              </w:rPr>
            </w:r>
          </w:p>
        </w:tc>
        <w:tc>
          <w:tcPr/>
          <w:p w:rsidR="00000000" w:rsidDel="00000000" w:rsidP="00000000" w:rsidRDefault="00000000" w:rsidRPr="00000000" w14:paraId="0000008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 iniciado</w:t>
            </w:r>
            <w:r w:rsidDel="00000000" w:rsidR="00000000" w:rsidRPr="00000000">
              <w:rPr>
                <w:rtl w:val="0"/>
              </w:rPr>
            </w:r>
          </w:p>
        </w:tc>
        <w:tc>
          <w:tcPr/>
          <w:p w:rsidR="00000000" w:rsidDel="00000000" w:rsidP="00000000" w:rsidRDefault="00000000" w:rsidRPr="00000000" w14:paraId="0000008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Sin ajustes.</w:t>
            </w:r>
            <w:r w:rsidDel="00000000" w:rsidR="00000000" w:rsidRPr="00000000">
              <w:rPr>
                <w:rtl w:val="0"/>
              </w:rPr>
            </w:r>
          </w:p>
        </w:tc>
      </w:tr>
    </w:tbl>
    <w:p w:rsidR="00000000" w:rsidDel="00000000" w:rsidP="00000000" w:rsidRDefault="00000000" w:rsidRPr="00000000" w14:paraId="0000008E">
      <w:pPr>
        <w:rPr>
          <w:color w:val="595959"/>
          <w:sz w:val="24"/>
          <w:szCs w:val="24"/>
        </w:rPr>
        <w:sectPr>
          <w:headerReference r:id="rId10" w:type="default"/>
          <w:type w:val="nextPage"/>
          <w:pgSz w:h="11906" w:w="16838" w:orient="landscape"/>
          <w:pgMar w:bottom="1000" w:top="1000" w:left="1000" w:right="1000" w:header="708" w:footer="708"/>
        </w:sect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2">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Factores que han facilitado el desarrollo del plan de trabajo. El principal facilitador es que EmotionLAB es un proyecto de continuidad: se parte de una versión previa ya desarrollada, lo que reduce el riesgo técnico y permite concentrar el esfuerzo en el rediseño de la experiencia para Enseñanza Media y en la telemetría. A esto se suma que el equipo es pequeño y tiene roles claramente definidos desde la Fase 1, lo que evita superposición de tareas; el uso de un tablero Kanban en GitHub Projects, que hace visible el avance y permite detectar cuellos de botella en la revisión semanal; y la retroalimentación temprana del docente, que permitió corregir el enfoque del proyecto antes de consolidar la documentación de la Fase 2.</w:t>
            </w:r>
            <w:r w:rsidDel="00000000" w:rsidR="00000000" w:rsidRPr="00000000">
              <w:rPr>
                <w:rtl w:val="0"/>
              </w:rPr>
            </w:r>
          </w:p>
          <w:p w:rsidR="00000000" w:rsidDel="00000000" w:rsidP="00000000" w:rsidRDefault="00000000" w:rsidRPr="00000000" w14:paraId="00000095">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Factores que han dificultado el desarrollo del plan de trabajo. En primer lugar, la coordinación con el establecimiento educacional dependió de tiempos de respuesta que el equipo no controla, y de ella dependen tanto las pruebas de campo —la actividad más crítica del cronograma— como la gestión de los consentimientos informados. Para abordarlo se estandarizó el material de contacto y se gestionó la coordinación con más de un establecimiento en paralelo, de modo de no depender de una única respuesta, y se adelantó la elaboración del documento de consentimiento para que la única variable pendiente fuera la confirmación del colegio. Esta ya fue obtenida y las pruebas de campo quedaron fijadas para el lunes 5 y el martes 6 de octubre (semana 9); además, el semestre contempla un margen de holgura de cinco semanas respecto de las trece planificadas.</w:t>
            </w:r>
            <w:r w:rsidDel="00000000" w:rsidR="00000000" w:rsidRPr="00000000">
              <w:rPr>
                <w:rtl w:val="0"/>
              </w:rPr>
            </w:r>
          </w:p>
          <w:p w:rsidR="00000000" w:rsidDel="00000000" w:rsidP="00000000" w:rsidRDefault="00000000" w:rsidRPr="00000000" w14:paraId="0000009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En segundo lugar, y según la observación del docente, la gestión del material y la documentación complementaria que se exige al proyecto: además de los entregables de la Fase 2, el docente solicitó respaldar la metodología Scrum/Kanban con documentación adicional (documento de inicio, Product Vision, Product Backlog, Sprint Backlog / tablero, Definition of Done, evidencias de los ciclos, retrospectivas, documento de diseño, código, pruebas por ciclo, infraestructura, README, manual técnico, innovación y cierre del proyecto), lo que se suma a la preparación del material de las pruebas de campo (visores con la build instalada, formularios de captura y consentimientos) en una semana ya cargada. Para abordarlo, el equipo revisará qué documentos ya existen (README, tablero de GitHub Projects, definición de terminado, documento de diseño), asignará un responsable y una fecha a cada uno de los faltantes, los incorporará como issues al tablero Kanban y los revisará en la reunión semanal, priorizando la preparación del material de la intervención hasta el 6 de octubre. A la fecha ya se elaboraron, para el componente de telemetría, la Product Vision, el Product Backlog, la Definition of Done, la ficha y la retrospectiva del Ciclo 1, la justificación de las decisiones técnicas y el registro de pruebas, que se incorporan en las secciones de metodología y de evidencias de avance de este informe.</w:t>
            </w:r>
            <w:r w:rsidDel="00000000" w:rsidR="00000000" w:rsidRPr="00000000">
              <w:rPr>
                <w:rtl w:val="0"/>
              </w:rPr>
            </w:r>
          </w:p>
          <w:p w:rsidR="00000000" w:rsidDel="00000000" w:rsidP="00000000" w:rsidRDefault="00000000" w:rsidRPr="00000000" w14:paraId="0000009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En tercer lugar, la retroalimentación del docente exigió reencuadrar el relato del proyecto —dejar de hablar de medición de emociones y hablar de datos comportamentales que apoyan la toma de decisiones del docente o psicopedagogo—, lo que implicó rehacer la presentación y revisar la documentación. Se abordó incorporando la corrección de manera transversal a todos los documentos en curso, para que el discurso del proyecto sea consistente de aquí al cierre.</w:t>
            </w:r>
            <w:r w:rsidDel="00000000" w:rsidR="00000000" w:rsidRPr="00000000">
              <w:rPr>
                <w:rtl w:val="0"/>
              </w:rPr>
            </w:r>
          </w:p>
          <w:p w:rsidR="00000000" w:rsidDel="00000000" w:rsidP="00000000" w:rsidRDefault="00000000" w:rsidRPr="00000000" w14:paraId="0000009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En cuarto lugar, el proyecto tiene una dependencia con el equipo externo de IA, que consume los datos que transmitimos. Para que esa dependencia no se transforme en un bloqueo, el equipo definió como hito propio dejar la arquitectura de telemetría y los servicios en la nube operativos y documentados, de modo que el acople del equipo externo no condicione nuestro avance.</w:t>
            </w:r>
            <w:r w:rsidDel="00000000" w:rsidR="00000000" w:rsidRPr="00000000">
              <w:rPr>
                <w:rtl w:val="0"/>
              </w:rPr>
            </w:r>
          </w:p>
          <w:p w:rsidR="00000000" w:rsidDel="00000000" w:rsidP="00000000" w:rsidRDefault="00000000" w:rsidRPr="00000000" w14:paraId="0000009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Por último, la migración al repositorio exigido por la asignatura obligó a mantener trazabilidad entre el repositorio original y el nuevo. Se abordó configurando el tablero Kanban para que cruce ambos repositorios, evitando duplicar o perder los issues ya creados.</w:t>
            </w:r>
            <w:r w:rsidDel="00000000" w:rsidR="00000000" w:rsidRPr="00000000">
              <w:rPr>
                <w:rtl w:val="0"/>
              </w:rPr>
            </w:r>
          </w:p>
        </w:tc>
      </w:tr>
    </w:tbl>
    <w:p w:rsidR="00000000" w:rsidDel="00000000" w:rsidP="00000000" w:rsidRDefault="00000000" w:rsidRPr="00000000" w14:paraId="0000009A">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C">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No se eliminaron actividades del plan de trabajo. Todas las actividades definidas en la Fase 1 se mantienen vigentes, con los siguientes ajustes:</w:t>
            </w:r>
            <w:r w:rsidDel="00000000" w:rsidR="00000000" w:rsidRPr="00000000">
              <w:rPr>
                <w:rtl w:val="0"/>
              </w:rPr>
            </w:r>
          </w:p>
          <w:p w:rsidR="00000000" w:rsidDel="00000000" w:rsidP="00000000" w:rsidRDefault="00000000" w:rsidRPr="00000000" w14:paraId="0000009D">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1. Ejecución de pruebas de campo: se amplió la duración de 3 a 4 semanas y se adelantó el inicio una semana, quedando entre las semanas 8 y 11 (28 de septiembre al 25 de octubre). La justificación es de consistencia interna: el objetivo específico compromete intervenir a un grupo mínimo de 20 estudiantes 2 veces por semana durante 1 mes, por lo que una planificación de 3 semanas no permitía cumplir la frecuencia comprometida. El adelanto del inicio permite absorber la semana adicional sin invadir la Fase 3 ni desplazar el cierre del proyecto.</w:t>
            </w:r>
            <w:r w:rsidDel="00000000" w:rsidR="00000000" w:rsidRPr="00000000">
              <w:rPr>
                <w:rtl w:val="0"/>
              </w:rPr>
            </w:r>
          </w:p>
          <w:p w:rsidR="00000000" w:rsidDel="00000000" w:rsidP="00000000" w:rsidRDefault="00000000" w:rsidRPr="00000000" w14:paraId="0000009E">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2. Coordinación con el colegio participante: se mantiene la actividad y su duración prevista, pero se ajustó la forma de ejecutarla, gestionando el contacto con más de un establecimiento en paralelo y estandarizando el material de presentación. El ajuste responde a que esta actividad es la de mayor riesgo del cronograma por depender de un tercero. La actividad se dio por completada al obtener la confirmación del establecimiento en la semana 7.</w:t>
            </w:r>
            <w:r w:rsidDel="00000000" w:rsidR="00000000" w:rsidRPr="00000000">
              <w:rPr>
                <w:rtl w:val="0"/>
              </w:rPr>
            </w:r>
          </w:p>
          <w:p w:rsidR="00000000" w:rsidDel="00000000" w:rsidP="00000000" w:rsidRDefault="00000000" w:rsidRPr="00000000" w14:paraId="0000009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3. Construcción de la arquitectura de datos: se ajustó la documentación de la actividad. El esquema genérico de referencia con el que se partió fue reemplazado por la documentación de la arquitectura efectivamente implementada (API Gateway, Lambda, S3 y Terraform), elaborada por la integrante responsable del área, de modo que la evidencia refleje la implementación real del proyecto.</w:t>
            </w:r>
            <w:r w:rsidDel="00000000" w:rsidR="00000000" w:rsidRPr="00000000">
              <w:rPr>
                <w:rtl w:val="0"/>
              </w:rPr>
            </w:r>
          </w:p>
          <w:p w:rsidR="00000000" w:rsidDel="00000000" w:rsidP="00000000" w:rsidRDefault="00000000" w:rsidRPr="00000000" w14:paraId="000000A0">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4. Consentimientos informados: la actividad se separó en dos partes. La elaboración del documento se completó dentro de la ventana prevista (S5 – S6) y el formato definitivo está disponible; la gestión de firmas se replanificó como subactividad posterior a la confirmación del establecimiento, porque la vía de distribución y recepción de las autorizaciones debe acordarse con su dirección y no podía definirse antes. El ajuste no altera el objetivo específico 4 ni el resguardo de privacidad del proyecto.</w:t>
            </w:r>
            <w:r w:rsidDel="00000000" w:rsidR="00000000" w:rsidRPr="00000000">
              <w:rPr>
                <w:rtl w:val="0"/>
              </w:rPr>
            </w:r>
          </w:p>
          <w:p w:rsidR="00000000" w:rsidDel="00000000" w:rsidP="00000000" w:rsidRDefault="00000000" w:rsidRPr="00000000" w14:paraId="000000A1">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Las restantes actividades no han requerido ajustes, principalmente porque el proyecto es de continuidad y porque los roles y responsabilidades quedaron definidos desde la Fase 1, lo que ha permitido ejecutarlas según lo planificado.</w:t>
            </w:r>
            <w:r w:rsidDel="00000000" w:rsidR="00000000" w:rsidRPr="00000000">
              <w:rPr>
                <w:rtl w:val="0"/>
              </w:rPr>
            </w:r>
          </w:p>
        </w:tc>
      </w:tr>
    </w:tbl>
    <w:p w:rsidR="00000000" w:rsidDel="00000000" w:rsidP="00000000" w:rsidRDefault="00000000" w:rsidRPr="00000000" w14:paraId="000000A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5">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 la fecha de este informe (semana 7 de 13), las actividades no iniciadas corresponden a actividades que, de acuerdo con la planificación, aún no debían comenzar. La coordinación con el colegio se completó en la semana 7, con una confirmación posterior a la ventana prevista que no compromete el cronograma gracias al margen de holgura; la única actividad reformulada es la de consentimientos informados, reportada como ajustada en el plan de trabajo.</w:t>
            </w:r>
            <w:r w:rsidDel="00000000" w:rsidR="00000000" w:rsidRPr="00000000">
              <w:rPr>
                <w:rtl w:val="0"/>
              </w:rPr>
            </w:r>
          </w:p>
          <w:p w:rsidR="00000000" w:rsidDel="00000000" w:rsidP="00000000" w:rsidRDefault="00000000" w:rsidRPr="00000000" w14:paraId="000000A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Ejecución de pruebas de campo (S8 – S11): no iniciada por planificación. Su comienzo depende de una condición previa pendiente: la recepción de los consentimientos informados de los apoderados, ya que el establecimiento educacional confirmó su participación y las intervenciones quedaron fijadas para el lunes 5 y el martes 6 de octubre (semana 9). La estrategia para no comprometer el proyecto consiste en mantener el documento de consentimiento ya elaborado y distribuirlo con el colegio apenas se defina la vía de entrega, preparar el material de la intervención (visores, builds y formularios) con anticipación y conservar las builds de prueba operativas en el visor. El inicio se desplaza una semana respecto de lo previsto (semana 8), desplazamiento que se absorbe con el margen de holgura de cinco semanas del semestre, sin invadir la Fase 3.</w:t>
            </w:r>
            <w:r w:rsidDel="00000000" w:rsidR="00000000" w:rsidRPr="00000000">
              <w:rPr>
                <w:rtl w:val="0"/>
              </w:rPr>
            </w:r>
          </w:p>
          <w:p w:rsidR="00000000" w:rsidDel="00000000" w:rsidP="00000000" w:rsidRDefault="00000000" w:rsidRPr="00000000" w14:paraId="000000A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Transmisión de datos a la nube (S10 – S11): no iniciada por planificación, ya que requiere disponer de los datos capturados en las sesiones. Como estrategia preventiva, la arquitectura y los servicios en la nube se están dejando operativos y documentados con anticipación, de manera que esta actividad se reduzca a la ejecución de la transmisión y no a su implementación.</w:t>
            </w:r>
            <w:r w:rsidDel="00000000" w:rsidR="00000000" w:rsidRPr="00000000">
              <w:rPr>
                <w:rtl w:val="0"/>
              </w:rPr>
            </w:r>
          </w:p>
          <w:p w:rsidR="00000000" w:rsidDel="00000000" w:rsidP="00000000" w:rsidRDefault="00000000" w:rsidRPr="00000000" w14:paraId="000000A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Cierre, defensa y entrega final (S12 – S13): no iniciada por planificación. Se mitiga avanzando desde ya en la documentación formal de la Fase 2, de modo que el cierre consista en consolidar y ensayar, y no en redactar desde cero.</w:t>
            </w:r>
            <w:r w:rsidDel="00000000" w:rsidR="00000000" w:rsidRPr="00000000">
              <w:rPr>
                <w:rtl w:val="0"/>
              </w:rPr>
            </w:r>
          </w:p>
          <w:p w:rsidR="00000000" w:rsidDel="00000000" w:rsidP="00000000" w:rsidRDefault="00000000" w:rsidRPr="00000000" w14:paraId="000000A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Actividad con seguimiento especial: Consentimientos informados (S5 – S6, ajustada). El documento ya fue elaborado dentro del plazo previsto y el establecimiento ya está confirmado; la gestión de firmas queda pendiente de acordar con su dirección si la comunicación a los apoderados la canaliza el colegio o el equipo. Esa definición se solicitará en la próxima instancia de coordinación con el establecimiento, de modo de completar las firmas antes del 5 de octubre, fecha de la primera intervención; es el frente que el equipo mantiene bajo seguimiento semanal.</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11"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3.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6AO1qJNWfM7KLQSfssjQaHcaVg==">CgMxLjAyDWgubmQ4NTNoemc3dTU4AHIhMVhzXzdIOENUY1VDQzNMYVBNd0NJUGlUQlpJQ1paN2s2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