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b/>
          <w:color w:val="FFFFFF"/>
          <w:sz w:val="38"/>
        </w:rPr>
        <w:t xml:space="preserve">Rapport du projet DIT Librairie</w:t>
      </w:r>
    </w:p>
    <w:p>
      <w:pPr>
        <w:jc w:val="center"/>
      </w:pPr>
      <w:r>
        <w:rPr>
          <w:color w:val="1F2937"/>
          <w:sz w:val="22"/>
        </w:rPr>
        <w:t xml:space="preserve">Document modifiable Word - thème vert sombre / vert institutionnel</w:t>
      </w:r>
    </w:p>
    <w:p>
      <w:pPr>
        <w:jc w:val="center"/>
      </w:pPr>
      <w:r>
        <w:rPr>
          <w:color w:val="1F2937"/>
          <w:sz w:val="22"/>
        </w:rPr>
        <w:t xml:space="preserve">Projet: application de bibliothèque numérique distribuée en microservices, avec pipeline de recommandation versionné par DVC.</w:t>
      </w:r>
    </w:p>
    <w:p>
      <w:r>
        <w:br w:type="page"/>
      </w:r>
    </w:p>
    <w:p>
      <w:pPr>
        <w:pStyle w:val="Heading1"/>
      </w:pPr>
      <w:r>
        <w:rPr>
          <w:b/>
          <w:color w:val="064E3B"/>
          <w:sz w:val="30"/>
        </w:rPr>
        <w:t xml:space="preserve">1. Présentation du projet</w:t>
      </w:r>
    </w:p>
    <w:p>
      <w:r>
        <w:rPr>
          <w:color w:val="1F2937"/>
          <w:sz w:val="22"/>
        </w:rPr>
        <w:t xml:space="preserve">DIT Librairie est une application de bibliothèque numérique destinée à gérer un catalogue de livres, les comptes des lecteurs, les emprunts, les retours, les retards, les statistiques administratives et les recommandations personnalisées.</w:t>
      </w:r>
    </w:p>
    <w:p>
      <w:pPr>
        <w:pStyle w:val="ListBullet"/>
      </w:pPr>
      <w:r>
        <w:rPr>
          <w:color w:val="1F2937"/>
          <w:sz w:val="22"/>
        </w:rPr>
        <w:t xml:space="preserve">Frontend HTML/CSS/JavaScript exposé sur le port 8080.</w:t>
      </w:r>
    </w:p>
    <w:p>
      <w:pPr>
        <w:pStyle w:val="ListBullet"/>
      </w:pPr>
      <w:r>
        <w:rPr>
          <w:color w:val="1F2937"/>
          <w:sz w:val="22"/>
        </w:rPr>
        <w:t xml:space="preserve">Microservices Django REST pour les livres, les utilisateurs, les emprunts et les statistiques.</w:t>
      </w:r>
    </w:p>
    <w:p>
      <w:pPr>
        <w:pStyle w:val="ListBullet"/>
      </w:pPr>
      <w:r>
        <w:rPr>
          <w:color w:val="1F2937"/>
          <w:sz w:val="22"/>
        </w:rPr>
        <w:t xml:space="preserve">Service FastAPI dédié aux recommandations, basé sur un modèle hybride collaboratif et sémantique.</w:t>
      </w:r>
    </w:p>
    <w:p>
      <w:pPr>
        <w:pStyle w:val="ListBullet"/>
      </w:pPr>
      <w:r>
        <w:rPr>
          <w:color w:val="1F2937"/>
          <w:sz w:val="22"/>
        </w:rPr>
        <w:t xml:space="preserve">Base MySQL 8.4 orchestrée par Docker Compose, avec profils dev et prod.</w:t>
      </w:r>
    </w:p>
    <w:p>
      <w:pPr>
        <w:pStyle w:val="ListBullet"/>
      </w:pPr>
      <w:r>
        <w:rPr>
          <w:color w:val="1F2937"/>
          <w:sz w:val="22"/>
        </w:rPr>
        <w:t xml:space="preserve">Pipeline DVC pour préparer les données, entraîner le modèle et publier les métriques.</w:t>
      </w:r>
    </w:p>
    <w:p>
      <w:pPr>
        <w:pStyle w:val="Heading1"/>
      </w:pPr>
      <w:r>
        <w:rPr>
          <w:b/>
          <w:color w:val="064E3B"/>
          <w:sz w:val="30"/>
        </w:rPr>
        <w:t xml:space="preserve">2. Architecture du système</w:t>
      </w:r>
    </w:p>
    <w:p>
      <w:r>
        <w:rPr>
          <w:color w:val="1F2937"/>
          <w:sz w:val="22"/>
        </w:rPr>
        <w:t xml:space="preserve">L'architecture est organisée autour d'un frontend consommant plusieurs APIs HTTP/JSON. Les services métiers conservent leur responsabilité fonctionnelle et communiquent au besoin avec les autres services via des variables d'environnement Docker.</w:t>
      </w:r>
    </w:p>
    <w:p>
      <w:pPr>
        <w:jc w:val="center"/>
      </w:pPr>
      <w:r>
        <w:drawing>
          <wp:inline xmlns:wp="http://schemas.openxmlformats.org/drawingml/2006/wordprocessingDrawing" distT="0" distB="0" distL="0" distR="0">
            <wp:extent cx="6217920" cy="3809514"/>
            <wp:docPr id="10" name="architecture_systeme.png"/>
            <a:graphic xmlns:a="http://schemas.openxmlformats.org/drawingml/2006/main">
              <a:graphicData uri="http://schemas.openxmlformats.org/drawingml/2006/picture">
                <pic:pic xmlns:pic="http://schemas.openxmlformats.org/drawingml/2006/picture">
                  <pic:nvPicPr>
                    <pic:cNvPr id="0" name="architecture_systeme.png"/>
                    <pic:cNvPicPr/>
                  </pic:nvPicPr>
                  <pic:blipFill>
                    <a:blip xmlns:r="http://schemas.openxmlformats.org/officeDocument/2006/relationships" r:embed="rId10"/>
                    <a:stretch>
                      <a:fillRect/>
                    </a:stretch>
                  </pic:blipFill>
                  <pic:spPr>
                    <a:xfrm>
                      <a:off x="0" y="0"/>
                      <a:ext cx="6217920" cy="3809514"/>
                    </a:xfrm>
                    <a:prstGeom prst="rect">
                      <a:avLst/>
                    </a:prstGeom>
                  </pic:spPr>
                </pic:pic>
              </a:graphicData>
            </a:graphic>
          </wp:inline>
        </w:drawing>
      </w:r>
    </w:p>
    <w:p>
      <w:pPr>
        <w:jc w:val="center"/>
      </w:pPr>
      <w:r>
        <w:rPr>
          <w:color w:val="4B5563"/>
          <w:sz w:val="18"/>
        </w:rPr>
        <w:t xml:space="preserve">Schéma d'architecture système</w:t>
      </w:r>
    </w:p>
    <w:p>
      <w:pPr>
        <w:pStyle w:val="Heading1"/>
      </w:pPr>
      <w:r>
        <w:rPr>
          <w:b/>
          <w:color w:val="064E3B"/>
          <w:sz w:val="30"/>
        </w:rPr>
        <w:t xml:space="preserve">3. Services</w:t>
      </w:r>
    </w:p>
    <w:tbl>
      <w:tblPr>
        <w:tblStyle w:val="TableGrid"/>
        <w:tblW w:w="0" w:type="auto"/>
        <w:tblBorders>
          <w:top w:val="single" w:sz="4" w:color="B7C7BD"/>
          <w:left w:val="single" w:sz="4" w:color="B7C7BD"/>
          <w:bottom w:val="single" w:sz="4" w:color="B7C7BD"/>
          <w:right w:val="single" w:sz="4" w:color="B7C7BD"/>
          <w:insideH w:val="single" w:sz="4" w:color="B7C7BD"/>
          <w:insideV w:val="single" w:sz="4" w:color="B7C7BD"/>
        </w:tblBorders>
      </w:tblPr>
      <w:tblGrid>
        <w:gridCol w:w="1700"/>
        <w:gridCol w:w="1700"/>
        <w:gridCol w:w="850"/>
        <w:gridCol w:w="4950"/>
      </w:tblGrid>
      <w:tr>
        <w:tc>
          <w:tcPr>
            <w:tcW w:w="1700" w:type="dxa"/>
            <w:shd w:fill="064E3B"/>
          </w:tcPr>
          <w:p>
            <w:r>
              <w:rPr>
                <w:b/>
                <w:color w:val="FFFFFF"/>
                <w:sz w:val="20"/>
              </w:rPr>
              <w:t xml:space="preserve">Service</w:t>
            </w:r>
          </w:p>
        </w:tc>
        <w:tc>
          <w:tcPr>
            <w:tcW w:w="1700" w:type="dxa"/>
            <w:shd w:fill="064E3B"/>
          </w:tcPr>
          <w:p>
            <w:r>
              <w:rPr>
                <w:b/>
                <w:color w:val="FFFFFF"/>
                <w:sz w:val="20"/>
              </w:rPr>
              <w:t xml:space="preserve">Technologie</w:t>
            </w:r>
          </w:p>
        </w:tc>
        <w:tc>
          <w:tcPr>
            <w:tcW w:w="850" w:type="dxa"/>
            <w:shd w:fill="064E3B"/>
          </w:tcPr>
          <w:p>
            <w:r>
              <w:rPr>
                <w:b/>
                <w:color w:val="FFFFFF"/>
                <w:sz w:val="20"/>
              </w:rPr>
              <w:t xml:space="preserve">Port</w:t>
            </w:r>
          </w:p>
        </w:tc>
        <w:tc>
          <w:tcPr>
            <w:tcW w:w="4950" w:type="dxa"/>
            <w:shd w:fill="064E3B"/>
          </w:tcPr>
          <w:p>
            <w:r>
              <w:rPr>
                <w:b/>
                <w:color w:val="FFFFFF"/>
                <w:sz w:val="20"/>
              </w:rPr>
              <w:t xml:space="preserve">Responsabilités</w:t>
            </w:r>
          </w:p>
        </w:tc>
      </w:tr>
      <w:tr>
        <w:tc>
          <w:tcPr>
            <w:tcW w:w="1700" w:type="dxa"/>
          </w:tcPr>
          <w:p>
            <w:r>
              <w:rPr>
                <w:color w:val="1F2937"/>
                <w:sz w:val="20"/>
              </w:rPr>
              <w:t xml:space="preserve">frontend</w:t>
            </w:r>
          </w:p>
        </w:tc>
        <w:tc>
          <w:tcPr>
            <w:tcW w:w="1700" w:type="dxa"/>
          </w:tcPr>
          <w:p>
            <w:r>
              <w:rPr>
                <w:color w:val="1F2937"/>
                <w:sz w:val="20"/>
              </w:rPr>
              <w:t xml:space="preserve">HTML/CSS/JavaScript</w:t>
            </w:r>
          </w:p>
        </w:tc>
        <w:tc>
          <w:tcPr>
            <w:tcW w:w="850" w:type="dxa"/>
          </w:tcPr>
          <w:p>
            <w:r>
              <w:rPr>
                <w:color w:val="1F2937"/>
                <w:sz w:val="20"/>
              </w:rPr>
              <w:t xml:space="preserve">8080</w:t>
            </w:r>
          </w:p>
        </w:tc>
        <w:tc>
          <w:tcPr>
            <w:tcW w:w="4950" w:type="dxa"/>
          </w:tcPr>
          <w:p>
            <w:r>
              <w:rPr>
                <w:color w:val="1F2937"/>
                <w:sz w:val="20"/>
              </w:rPr>
              <w:t xml:space="preserve">Pages accueil, catalogue, connexion, inscription et compte utilisateur.</w:t>
            </w:r>
          </w:p>
        </w:tc>
      </w:tr>
      <w:tr>
        <w:tc>
          <w:tcPr>
            <w:tcW w:w="1700" w:type="dxa"/>
          </w:tcPr>
          <w:p>
            <w:r>
              <w:rPr>
                <w:color w:val="1F2937"/>
                <w:sz w:val="20"/>
              </w:rPr>
              <w:t xml:space="preserve">livres</w:t>
            </w:r>
          </w:p>
        </w:tc>
        <w:tc>
          <w:tcPr>
            <w:tcW w:w="1700" w:type="dxa"/>
          </w:tcPr>
          <w:p>
            <w:r>
              <w:rPr>
                <w:color w:val="1F2937"/>
                <w:sz w:val="20"/>
              </w:rPr>
              <w:t xml:space="preserve">Django REST</w:t>
            </w:r>
          </w:p>
        </w:tc>
        <w:tc>
          <w:tcPr>
            <w:tcW w:w="850" w:type="dxa"/>
          </w:tcPr>
          <w:p>
            <w:r>
              <w:rPr>
                <w:color w:val="1F2937"/>
                <w:sz w:val="20"/>
              </w:rPr>
              <w:t xml:space="preserve">8001</w:t>
            </w:r>
          </w:p>
        </w:tc>
        <w:tc>
          <w:tcPr>
            <w:tcW w:w="4950" w:type="dxa"/>
          </w:tcPr>
          <w:p>
            <w:r>
              <w:rPr>
                <w:color w:val="1F2937"/>
                <w:sz w:val="20"/>
              </w:rPr>
              <w:t xml:space="preserve">Catalogue, recherche, livres disponibles/récents, stock et demandes de livres.</w:t>
            </w:r>
          </w:p>
        </w:tc>
      </w:tr>
      <w:tr>
        <w:tc>
          <w:tcPr>
            <w:tcW w:w="1700" w:type="dxa"/>
          </w:tcPr>
          <w:p>
            <w:r>
              <w:rPr>
                <w:color w:val="1F2937"/>
                <w:sz w:val="20"/>
              </w:rPr>
              <w:t xml:space="preserve">utilisateurs</w:t>
            </w:r>
          </w:p>
        </w:tc>
        <w:tc>
          <w:tcPr>
            <w:tcW w:w="1700" w:type="dxa"/>
          </w:tcPr>
          <w:p>
            <w:r>
              <w:rPr>
                <w:color w:val="1F2937"/>
                <w:sz w:val="20"/>
              </w:rPr>
              <w:t xml:space="preserve">Django REST</w:t>
            </w:r>
          </w:p>
        </w:tc>
        <w:tc>
          <w:tcPr>
            <w:tcW w:w="850" w:type="dxa"/>
          </w:tcPr>
          <w:p>
            <w:r>
              <w:rPr>
                <w:color w:val="1F2937"/>
                <w:sz w:val="20"/>
              </w:rPr>
              <w:t xml:space="preserve">8002</w:t>
            </w:r>
          </w:p>
        </w:tc>
        <w:tc>
          <w:tcPr>
            <w:tcW w:w="4950" w:type="dxa"/>
          </w:tcPr>
          <w:p>
            <w:r>
              <w:rPr>
                <w:color w:val="1F2937"/>
                <w:sz w:val="20"/>
              </w:rPr>
              <w:t xml:space="preserve">Inscription, connexion, profils, rôles, comptes actifs et administration.</w:t>
            </w:r>
          </w:p>
        </w:tc>
      </w:tr>
      <w:tr>
        <w:tc>
          <w:tcPr>
            <w:tcW w:w="1700" w:type="dxa"/>
          </w:tcPr>
          <w:p>
            <w:r>
              <w:rPr>
                <w:color w:val="1F2937"/>
                <w:sz w:val="20"/>
              </w:rPr>
              <w:t xml:space="preserve">emprunts</w:t>
            </w:r>
          </w:p>
        </w:tc>
        <w:tc>
          <w:tcPr>
            <w:tcW w:w="1700" w:type="dxa"/>
          </w:tcPr>
          <w:p>
            <w:r>
              <w:rPr>
                <w:color w:val="1F2937"/>
                <w:sz w:val="20"/>
              </w:rPr>
              <w:t xml:space="preserve">Django REST</w:t>
            </w:r>
          </w:p>
        </w:tc>
        <w:tc>
          <w:tcPr>
            <w:tcW w:w="850" w:type="dxa"/>
          </w:tcPr>
          <w:p>
            <w:r>
              <w:rPr>
                <w:color w:val="1F2937"/>
                <w:sz w:val="20"/>
              </w:rPr>
              <w:t xml:space="preserve">8003</w:t>
            </w:r>
          </w:p>
        </w:tc>
        <w:tc>
          <w:tcPr>
            <w:tcW w:w="4950" w:type="dxa"/>
          </w:tcPr>
          <w:p>
            <w:r>
              <w:rPr>
                <w:color w:val="1F2937"/>
                <w:sz w:val="20"/>
              </w:rPr>
              <w:t xml:space="preserve">Création d'emprunts, retours, historique, retards et export CSV.</w:t>
            </w:r>
          </w:p>
        </w:tc>
      </w:tr>
      <w:tr>
        <w:tc>
          <w:tcPr>
            <w:tcW w:w="1700" w:type="dxa"/>
          </w:tcPr>
          <w:p>
            <w:r>
              <w:rPr>
                <w:color w:val="1F2937"/>
                <w:sz w:val="20"/>
              </w:rPr>
              <w:t xml:space="preserve">statistiques</w:t>
            </w:r>
          </w:p>
        </w:tc>
        <w:tc>
          <w:tcPr>
            <w:tcW w:w="1700" w:type="dxa"/>
          </w:tcPr>
          <w:p>
            <w:r>
              <w:rPr>
                <w:color w:val="1F2937"/>
                <w:sz w:val="20"/>
              </w:rPr>
              <w:t xml:space="preserve">Django REST</w:t>
            </w:r>
          </w:p>
        </w:tc>
        <w:tc>
          <w:tcPr>
            <w:tcW w:w="850" w:type="dxa"/>
          </w:tcPr>
          <w:p>
            <w:r>
              <w:rPr>
                <w:color w:val="1F2937"/>
                <w:sz w:val="20"/>
              </w:rPr>
              <w:t xml:space="preserve">8004</w:t>
            </w:r>
          </w:p>
        </w:tc>
        <w:tc>
          <w:tcPr>
            <w:tcW w:w="4950" w:type="dxa"/>
          </w:tcPr>
          <w:p>
            <w:r>
              <w:rPr>
                <w:color w:val="1F2937"/>
                <w:sz w:val="20"/>
              </w:rPr>
              <w:t xml:space="preserve">Tableau de bord admin, top livres, répartition utilisateurs, retards et santé des services.</w:t>
            </w:r>
          </w:p>
        </w:tc>
      </w:tr>
      <w:tr>
        <w:tc>
          <w:tcPr>
            <w:tcW w:w="1700" w:type="dxa"/>
          </w:tcPr>
          <w:p>
            <w:r>
              <w:rPr>
                <w:color w:val="1F2937"/>
                <w:sz w:val="20"/>
              </w:rPr>
              <w:t xml:space="preserve">recommandation</w:t>
            </w:r>
          </w:p>
        </w:tc>
        <w:tc>
          <w:tcPr>
            <w:tcW w:w="1700" w:type="dxa"/>
          </w:tcPr>
          <w:p>
            <w:r>
              <w:rPr>
                <w:color w:val="1F2937"/>
                <w:sz w:val="20"/>
              </w:rPr>
              <w:t xml:space="preserve">FastAPI</w:t>
            </w:r>
          </w:p>
        </w:tc>
        <w:tc>
          <w:tcPr>
            <w:tcW w:w="850" w:type="dxa"/>
          </w:tcPr>
          <w:p>
            <w:r>
              <w:rPr>
                <w:color w:val="1F2937"/>
                <w:sz w:val="20"/>
              </w:rPr>
              <w:t xml:space="preserve">8005</w:t>
            </w:r>
          </w:p>
        </w:tc>
        <w:tc>
          <w:tcPr>
            <w:tcW w:w="4950" w:type="dxa"/>
          </w:tcPr>
          <w:p>
            <w:r>
              <w:rPr>
                <w:color w:val="1F2937"/>
                <w:sz w:val="20"/>
              </w:rPr>
              <w:t xml:space="preserve">Chargement du modèle, recommandations utilisateur, ré-entraînement, métriques et informations modèle.</w:t>
            </w:r>
          </w:p>
        </w:tc>
      </w:tr>
      <w:tr>
        <w:tc>
          <w:tcPr>
            <w:tcW w:w="1700" w:type="dxa"/>
          </w:tcPr>
          <w:p>
            <w:r>
              <w:rPr>
                <w:color w:val="1F2937"/>
                <w:sz w:val="20"/>
              </w:rPr>
              <w:t xml:space="preserve">mysql</w:t>
            </w:r>
          </w:p>
        </w:tc>
        <w:tc>
          <w:tcPr>
            <w:tcW w:w="1700" w:type="dxa"/>
          </w:tcPr>
          <w:p>
            <w:r>
              <w:rPr>
                <w:color w:val="1F2937"/>
                <w:sz w:val="20"/>
              </w:rPr>
              <w:t xml:space="preserve">MySQL 8.4</w:t>
            </w:r>
          </w:p>
        </w:tc>
        <w:tc>
          <w:tcPr>
            <w:tcW w:w="850" w:type="dxa"/>
          </w:tcPr>
          <w:p>
            <w:r>
              <w:rPr>
                <w:color w:val="1F2937"/>
                <w:sz w:val="20"/>
              </w:rPr>
              <w:t xml:space="preserve">3306</w:t>
            </w:r>
          </w:p>
        </w:tc>
        <w:tc>
          <w:tcPr>
            <w:tcW w:w="4950" w:type="dxa"/>
          </w:tcPr>
          <w:p>
            <w:r>
              <w:rPr>
                <w:color w:val="1F2937"/>
                <w:sz w:val="20"/>
              </w:rPr>
              <w:t xml:space="preserve">Persistance des bases séparées livres_db, utilisateurs_db et emprunts_db.</w:t>
            </w:r>
          </w:p>
        </w:tc>
      </w:tr>
    </w:tbl>
    <w:p>
      <w:r>
        <w:rPr>
          <w:color w:val="1F2937"/>
          <w:sz w:val="22"/>
        </w:rPr>
        <w:t xml:space="preserve"/>
      </w:r>
    </w:p>
    <w:p>
      <w:pPr>
        <w:pStyle w:val="Heading1"/>
      </w:pPr>
      <w:r>
        <w:rPr>
          <w:b/>
          <w:color w:val="064E3B"/>
          <w:sz w:val="30"/>
        </w:rPr>
        <w:t xml:space="preserve">4. APIs et échanges</w:t>
      </w:r>
    </w:p>
    <w:p>
      <w:r>
        <w:rPr>
          <w:color w:val="1F2937"/>
          <w:sz w:val="22"/>
        </w:rPr>
        <w:t xml:space="preserve">Les échanges sont principalement en JSON. Le frontend ajoute des en-têtes de session simples: X-User-Id, X-User-Role et X-User-Name. Ces en-têtes pilotent les règles d'accès côté API.</w:t>
      </w:r>
    </w:p>
    <w:tbl>
      <w:tblPr>
        <w:tblStyle w:val="TableGrid"/>
        <w:tblW w:w="0" w:type="auto"/>
        <w:tblBorders>
          <w:top w:val="single" w:sz="4" w:color="B7C7BD"/>
          <w:left w:val="single" w:sz="4" w:color="B7C7BD"/>
          <w:bottom w:val="single" w:sz="4" w:color="B7C7BD"/>
          <w:right w:val="single" w:sz="4" w:color="B7C7BD"/>
          <w:insideH w:val="single" w:sz="4" w:color="B7C7BD"/>
          <w:insideV w:val="single" w:sz="4" w:color="B7C7BD"/>
        </w:tblBorders>
      </w:tblPr>
      <w:tblGrid>
        <w:gridCol w:w="1500"/>
        <w:gridCol w:w="3100"/>
        <w:gridCol w:w="4400"/>
      </w:tblGrid>
      <w:tr>
        <w:tc>
          <w:tcPr>
            <w:tcW w:w="1500" w:type="dxa"/>
            <w:shd w:fill="064E3B"/>
          </w:tcPr>
          <w:p>
            <w:r>
              <w:rPr>
                <w:b/>
                <w:color w:val="FFFFFF"/>
                <w:sz w:val="20"/>
              </w:rPr>
              <w:t xml:space="preserve">Service</w:t>
            </w:r>
          </w:p>
        </w:tc>
        <w:tc>
          <w:tcPr>
            <w:tcW w:w="3100" w:type="dxa"/>
            <w:shd w:fill="064E3B"/>
          </w:tcPr>
          <w:p>
            <w:r>
              <w:rPr>
                <w:b/>
                <w:color w:val="FFFFFF"/>
                <w:sz w:val="20"/>
              </w:rPr>
              <w:t xml:space="preserve">Endpoints principaux</w:t>
            </w:r>
          </w:p>
        </w:tc>
        <w:tc>
          <w:tcPr>
            <w:tcW w:w="4400" w:type="dxa"/>
            <w:shd w:fill="064E3B"/>
          </w:tcPr>
          <w:p>
            <w:r>
              <w:rPr>
                <w:b/>
                <w:color w:val="FFFFFF"/>
                <w:sz w:val="20"/>
              </w:rPr>
              <w:t xml:space="preserve">Données échangées</w:t>
            </w:r>
          </w:p>
        </w:tc>
      </w:tr>
      <w:tr>
        <w:tc>
          <w:tcPr>
            <w:tcW w:w="1500" w:type="dxa"/>
          </w:tcPr>
          <w:p>
            <w:r>
              <w:rPr>
                <w:color w:val="1F2937"/>
                <w:sz w:val="20"/>
              </w:rPr>
              <w:t xml:space="preserve">Livres</w:t>
            </w:r>
          </w:p>
        </w:tc>
        <w:tc>
          <w:tcPr>
            <w:tcW w:w="3100" w:type="dxa"/>
          </w:tcPr>
          <w:p>
            <w:r>
              <w:rPr>
                <w:color w:val="1F2937"/>
                <w:sz w:val="20"/>
              </w:rPr>
              <w:t xml:space="preserve">/api/livres/, /api/livres/disponibles/, /api/livres/recents/, /api/livres/&lt;id&gt;/stock/, /api/demandes-livres/</w:t>
            </w:r>
          </w:p>
        </w:tc>
        <w:tc>
          <w:tcPr>
            <w:tcW w:w="4400" w:type="dxa"/>
          </w:tcPr>
          <w:p>
            <w:r>
              <w:rPr>
                <w:color w:val="1F2937"/>
                <w:sz w:val="20"/>
              </w:rPr>
              <w:t xml:space="preserve">Livre: titre, auteur, isbn, catégorie, description, langue, dates, image_url, quantités, statut actif. Demande: utilisateur, titre, auteur, statut, commentaire gestionnaire.</w:t>
            </w:r>
          </w:p>
        </w:tc>
      </w:tr>
      <w:tr>
        <w:tc>
          <w:tcPr>
            <w:tcW w:w="1500" w:type="dxa"/>
          </w:tcPr>
          <w:p>
            <w:r>
              <w:rPr>
                <w:color w:val="1F2937"/>
                <w:sz w:val="20"/>
              </w:rPr>
              <w:t xml:space="preserve">Utilisateurs</w:t>
            </w:r>
          </w:p>
        </w:tc>
        <w:tc>
          <w:tcPr>
            <w:tcW w:w="3100" w:type="dxa"/>
          </w:tcPr>
          <w:p>
            <w:r>
              <w:rPr>
                <w:color w:val="1F2937"/>
                <w:sz w:val="20"/>
              </w:rPr>
              <w:t xml:space="preserve">/api/utilisateurs/connexion/, /api/utilisateurs/, /api/utilisateurs/me/, /api/utilisateurs/types/, /api/utilisateurs/&lt;id&gt;/</w:t>
            </w:r>
          </w:p>
        </w:tc>
        <w:tc>
          <w:tcPr>
            <w:tcW w:w="4400" w:type="dxa"/>
          </w:tcPr>
          <w:p>
            <w:r>
              <w:rPr>
                <w:color w:val="1F2937"/>
                <w:sz w:val="20"/>
              </w:rPr>
              <w:t xml:space="preserve">Utilisateur: nom, prénom, email, téléphone, département, numéro de carte, rôle, actif. Connexion: identifiant et mot_de_passe.</w:t>
            </w:r>
          </w:p>
        </w:tc>
      </w:tr>
      <w:tr>
        <w:tc>
          <w:tcPr>
            <w:tcW w:w="1500" w:type="dxa"/>
          </w:tcPr>
          <w:p>
            <w:r>
              <w:rPr>
                <w:color w:val="1F2937"/>
                <w:sz w:val="20"/>
              </w:rPr>
              <w:t xml:space="preserve">Emprunts</w:t>
            </w:r>
          </w:p>
        </w:tc>
        <w:tc>
          <w:tcPr>
            <w:tcW w:w="3100" w:type="dxa"/>
          </w:tcPr>
          <w:p>
            <w:r>
              <w:rPr>
                <w:color w:val="1F2937"/>
                <w:sz w:val="20"/>
              </w:rPr>
              <w:t xml:space="preserve">/api/emprunts/, /api/emprunts/&lt;id&gt;/retour/, /api/emprunts/utilisateur/&lt;id&gt;/, /api/emprunts/retards/, /api/emprunts/export/csv/</w:t>
            </w:r>
          </w:p>
        </w:tc>
        <w:tc>
          <w:tcPr>
            <w:tcW w:w="4400" w:type="dxa"/>
          </w:tcPr>
          <w:p>
            <w:r>
              <w:rPr>
                <w:color w:val="1F2937"/>
                <w:sz w:val="20"/>
              </w:rPr>
              <w:t xml:space="preserve">Emprunt: utilisateur_id, utilisateur_nom, livre_id, livre_titre, dates, statut, commentaire. Appelle livres pour vérifier et ajuster le stock, utilisateurs pour valider l'emprunteur.</w:t>
            </w:r>
          </w:p>
        </w:tc>
      </w:tr>
      <w:tr>
        <w:tc>
          <w:tcPr>
            <w:tcW w:w="1500" w:type="dxa"/>
          </w:tcPr>
          <w:p>
            <w:r>
              <w:rPr>
                <w:color w:val="1F2937"/>
                <w:sz w:val="20"/>
              </w:rPr>
              <w:t xml:space="preserve">Statistiques</w:t>
            </w:r>
          </w:p>
        </w:tc>
        <w:tc>
          <w:tcPr>
            <w:tcW w:w="3100" w:type="dxa"/>
          </w:tcPr>
          <w:p>
            <w:r>
              <w:rPr>
                <w:color w:val="1F2937"/>
                <w:sz w:val="20"/>
              </w:rPr>
              <w:t xml:space="preserve">/api/statistiques/tableau-de-bord/, /top-livres/, /repartition-utilisateurs/, /retards/, /sante-services/</w:t>
            </w:r>
          </w:p>
        </w:tc>
        <w:tc>
          <w:tcPr>
            <w:tcW w:w="4400" w:type="dxa"/>
          </w:tcPr>
          <w:p>
            <w:r>
              <w:rPr>
                <w:color w:val="1F2937"/>
                <w:sz w:val="20"/>
              </w:rPr>
              <w:t xml:space="preserve">Agrège les réponses des APIs livres, utilisateurs et emprunts pour produire indicateurs et listes administratives.</w:t>
            </w:r>
          </w:p>
        </w:tc>
      </w:tr>
      <w:tr>
        <w:tc>
          <w:tcPr>
            <w:tcW w:w="1500" w:type="dxa"/>
          </w:tcPr>
          <w:p>
            <w:r>
              <w:rPr>
                <w:color w:val="1F2937"/>
                <w:sz w:val="20"/>
              </w:rPr>
              <w:t xml:space="preserve">Recommandation</w:t>
            </w:r>
          </w:p>
        </w:tc>
        <w:tc>
          <w:tcPr>
            <w:tcW w:w="3100" w:type="dxa"/>
          </w:tcPr>
          <w:p>
            <w:r>
              <w:rPr>
                <w:color w:val="1F2937"/>
                <w:sz w:val="20"/>
              </w:rPr>
              <w:t xml:space="preserve">/health, /recommendations/&lt;user_id&gt;, /train, /metrics, /model-info</w:t>
            </w:r>
          </w:p>
        </w:tc>
        <w:tc>
          <w:tcPr>
            <w:tcW w:w="4400" w:type="dxa"/>
          </w:tcPr>
          <w:p>
            <w:r>
              <w:rPr>
                <w:color w:val="1F2937"/>
                <w:sz w:val="20"/>
              </w:rPr>
              <w:t xml:space="preserve">Lit model.pkl et metrics.json, récupère le catalogue et l'historique d'emprunts, retourne une liste de recommandations notées.</w:t>
            </w:r>
          </w:p>
        </w:tc>
      </w:tr>
    </w:tbl>
    <w:p>
      <w:r>
        <w:rPr>
          <w:color w:val="1F2937"/>
          <w:sz w:val="22"/>
        </w:rPr>
        <w:t xml:space="preserve"/>
      </w:r>
    </w:p>
    <w:p>
      <w:pPr>
        <w:pStyle w:val="Heading1"/>
      </w:pPr>
      <w:r>
        <w:rPr>
          <w:b/>
          <w:color w:val="064E3B"/>
          <w:sz w:val="30"/>
        </w:rPr>
        <w:t xml:space="preserve">5. Workflow Git utilisé</w:t>
      </w:r>
    </w:p>
    <w:p>
      <w:r>
        <w:rPr>
          <w:color w:val="1F2937"/>
          <w:sz w:val="22"/>
        </w:rPr>
        <w:t xml:space="preserve">Le dépôt observé est sur la branche validation. L'historique montre une intégration de branches de contribution dans cette branche via plusieurs commits de merge, par exemple origin/fabien, origin/marieange, origin/mamadousaidoubah, origin/jurgen, origin/igor, origin/dudumf, origin/davy et origin/cheikhabdoukhadremballo.</w:t>
      </w:r>
    </w:p>
    <w:p>
      <w:pPr>
        <w:pStyle w:val="ListBullet"/>
      </w:pPr>
      <w:r>
        <w:rPr>
          <w:color w:val="1F2937"/>
          <w:sz w:val="22"/>
        </w:rPr>
        <w:t xml:space="preserve">Chaque contributeur travaille sur une branche dédiée à un service ou à une fonctionnalité.</w:t>
      </w:r>
    </w:p>
    <w:p>
      <w:pPr>
        <w:pStyle w:val="ListBullet"/>
      </w:pPr>
      <w:r>
        <w:rPr>
          <w:color w:val="1F2937"/>
          <w:sz w:val="22"/>
        </w:rPr>
        <w:t xml:space="preserve">Les branches sont fusionnées dans validation pour centraliser l'intégration.</w:t>
      </w:r>
    </w:p>
    <w:p>
      <w:pPr>
        <w:pStyle w:val="ListBullet"/>
      </w:pPr>
      <w:r>
        <w:rPr>
          <w:color w:val="1F2937"/>
          <w:sz w:val="22"/>
        </w:rPr>
        <w:t xml:space="preserve">Les conflits sont résolus sur validation avant stabilisation.</w:t>
      </w:r>
    </w:p>
    <w:p>
      <w:pPr>
        <w:pStyle w:val="ListBullet"/>
      </w:pPr>
      <w:r>
        <w:rPr>
          <w:color w:val="1F2937"/>
          <w:sz w:val="22"/>
        </w:rPr>
        <w:t xml:space="preserve">Le Jenkinsfile automatise la préparation Python, l'exécution du pipeline DVC puis le build Docker de production.</w:t>
      </w:r>
    </w:p>
    <w:p>
      <w:pPr>
        <w:pStyle w:val="Heading1"/>
      </w:pPr>
      <w:r>
        <w:rPr>
          <w:b/>
          <w:color w:val="064E3B"/>
          <w:sz w:val="30"/>
        </w:rPr>
        <w:t xml:space="preserve">6. Pipeline DVC</w:t>
      </w:r>
    </w:p>
    <w:p>
      <w:r>
        <w:rPr>
          <w:color w:val="1F2937"/>
          <w:sz w:val="22"/>
        </w:rPr>
        <w:t xml:space="preserve">Le fichier dvc.yaml définit trois étapes: preprocess, train et evaluate. Les entrées et sorties sont versionnées afin de reproduire le modèle et les métriques.</w:t>
      </w:r>
    </w:p>
    <w:p>
      <w:pPr>
        <w:jc w:val="center"/>
      </w:pPr>
      <w:r>
        <w:drawing>
          <wp:inline xmlns:wp="http://schemas.openxmlformats.org/drawingml/2006/wordprocessingDrawing" distT="0" distB="0" distL="0" distR="0">
            <wp:extent cx="6217920" cy="3084274"/>
            <wp:docPr id="11" name="pipeline_dvc.png"/>
            <a:graphic xmlns:a="http://schemas.openxmlformats.org/drawingml/2006/main">
              <a:graphicData uri="http://schemas.openxmlformats.org/drawingml/2006/picture">
                <pic:pic xmlns:pic="http://schemas.openxmlformats.org/drawingml/2006/picture">
                  <pic:nvPicPr>
                    <pic:cNvPr id="0" name="pipeline_dvc.png"/>
                    <pic:cNvPicPr/>
                  </pic:nvPicPr>
                  <pic:blipFill>
                    <a:blip xmlns:r="http://schemas.openxmlformats.org/officeDocument/2006/relationships" r:embed="rId11"/>
                    <a:stretch>
                      <a:fillRect/>
                    </a:stretch>
                  </pic:blipFill>
                  <pic:spPr>
                    <a:xfrm>
                      <a:off x="0" y="0"/>
                      <a:ext cx="6217920" cy="3084274"/>
                    </a:xfrm>
                    <a:prstGeom prst="rect">
                      <a:avLst/>
                    </a:prstGeom>
                  </pic:spPr>
                </pic:pic>
              </a:graphicData>
            </a:graphic>
          </wp:inline>
        </w:drawing>
      </w:r>
    </w:p>
    <w:p>
      <w:pPr>
        <w:jc w:val="center"/>
      </w:pPr>
      <w:r>
        <w:rPr>
          <w:color w:val="4B5563"/>
          <w:sz w:val="18"/>
        </w:rPr>
        <w:t xml:space="preserve">Schéma des dépendances DVC</w:t>
      </w:r>
    </w:p>
    <w:tbl>
      <w:tblPr>
        <w:tblStyle w:val="TableGrid"/>
        <w:tblW w:w="0" w:type="auto"/>
        <w:tblBorders>
          <w:top w:val="single" w:sz="4" w:color="B7C7BD"/>
          <w:left w:val="single" w:sz="4" w:color="B7C7BD"/>
          <w:bottom w:val="single" w:sz="4" w:color="B7C7BD"/>
          <w:right w:val="single" w:sz="4" w:color="B7C7BD"/>
          <w:insideH w:val="single" w:sz="4" w:color="B7C7BD"/>
          <w:insideV w:val="single" w:sz="4" w:color="B7C7BD"/>
        </w:tblBorders>
      </w:tblPr>
      <w:tblGrid>
        <w:gridCol w:w="1200"/>
        <w:gridCol w:w="1900"/>
        <w:gridCol w:w="3900"/>
        <w:gridCol w:w="2000"/>
      </w:tblGrid>
      <w:tr>
        <w:tc>
          <w:tcPr>
            <w:tcW w:w="1200" w:type="dxa"/>
            <w:shd w:fill="064E3B"/>
          </w:tcPr>
          <w:p>
            <w:r>
              <w:rPr>
                <w:b/>
                <w:color w:val="FFFFFF"/>
                <w:sz w:val="20"/>
              </w:rPr>
              <w:t xml:space="preserve">Étape</w:t>
            </w:r>
          </w:p>
        </w:tc>
        <w:tc>
          <w:tcPr>
            <w:tcW w:w="1900" w:type="dxa"/>
            <w:shd w:fill="064E3B"/>
          </w:tcPr>
          <w:p>
            <w:r>
              <w:rPr>
                <w:b/>
                <w:color w:val="FFFFFF"/>
                <w:sz w:val="20"/>
              </w:rPr>
              <w:t xml:space="preserve">Commande</w:t>
            </w:r>
          </w:p>
        </w:tc>
        <w:tc>
          <w:tcPr>
            <w:tcW w:w="3900" w:type="dxa"/>
            <w:shd w:fill="064E3B"/>
          </w:tcPr>
          <w:p>
            <w:r>
              <w:rPr>
                <w:b/>
                <w:color w:val="FFFFFF"/>
                <w:sz w:val="20"/>
              </w:rPr>
              <w:t xml:space="preserve">Dépendances</w:t>
            </w:r>
          </w:p>
        </w:tc>
        <w:tc>
          <w:tcPr>
            <w:tcW w:w="2000" w:type="dxa"/>
            <w:shd w:fill="064E3B"/>
          </w:tcPr>
          <w:p>
            <w:r>
              <w:rPr>
                <w:b/>
                <w:color w:val="FFFFFF"/>
                <w:sz w:val="20"/>
              </w:rPr>
              <w:t xml:space="preserve">Sorties</w:t>
            </w:r>
          </w:p>
        </w:tc>
      </w:tr>
      <w:tr>
        <w:tc>
          <w:tcPr>
            <w:tcW w:w="1200" w:type="dxa"/>
          </w:tcPr>
          <w:p>
            <w:r>
              <w:rPr>
                <w:color w:val="1F2937"/>
                <w:sz w:val="20"/>
              </w:rPr>
              <w:t xml:space="preserve">preprocess</w:t>
            </w:r>
          </w:p>
        </w:tc>
        <w:tc>
          <w:tcPr>
            <w:tcW w:w="1900" w:type="dxa"/>
          </w:tcPr>
          <w:p>
            <w:r>
              <w:rPr>
                <w:color w:val="1F2937"/>
                <w:sz w:val="20"/>
              </w:rPr>
              <w:t xml:space="preserve">python scripts/preprocess.py</w:t>
            </w:r>
          </w:p>
        </w:tc>
        <w:tc>
          <w:tcPr>
            <w:tcW w:w="3900" w:type="dxa"/>
          </w:tcPr>
          <w:p>
            <w:r>
              <w:rPr>
                <w:color w:val="1F2937"/>
                <w:sz w:val="20"/>
              </w:rPr>
              <w:t xml:space="preserve">data/raw/loans.csv, scripts/preprocess.py</w:t>
            </w:r>
          </w:p>
        </w:tc>
        <w:tc>
          <w:tcPr>
            <w:tcW w:w="2000" w:type="dxa"/>
          </w:tcPr>
          <w:p>
            <w:r>
              <w:rPr>
                <w:color w:val="1F2937"/>
                <w:sz w:val="20"/>
              </w:rPr>
              <w:t xml:space="preserve">data/processed/loans_clean.csv</w:t>
            </w:r>
          </w:p>
        </w:tc>
      </w:tr>
      <w:tr>
        <w:tc>
          <w:tcPr>
            <w:tcW w:w="1200" w:type="dxa"/>
          </w:tcPr>
          <w:p>
            <w:r>
              <w:rPr>
                <w:color w:val="1F2937"/>
                <w:sz w:val="20"/>
              </w:rPr>
              <w:t xml:space="preserve">train</w:t>
            </w:r>
          </w:p>
        </w:tc>
        <w:tc>
          <w:tcPr>
            <w:tcW w:w="1900" w:type="dxa"/>
          </w:tcPr>
          <w:p>
            <w:r>
              <w:rPr>
                <w:color w:val="1F2937"/>
                <w:sz w:val="20"/>
              </w:rPr>
              <w:t xml:space="preserve">python scripts/train.py</w:t>
            </w:r>
          </w:p>
        </w:tc>
        <w:tc>
          <w:tcPr>
            <w:tcW w:w="3900" w:type="dxa"/>
          </w:tcPr>
          <w:p>
            <w:r>
              <w:rPr>
                <w:color w:val="1F2937"/>
                <w:sz w:val="20"/>
              </w:rPr>
              <w:t xml:space="preserve">loans_clean.csv, books_catalog.csv, scripts/train.py, moteur_recommandation.py</w:t>
            </w:r>
          </w:p>
        </w:tc>
        <w:tc>
          <w:tcPr>
            <w:tcW w:w="2000" w:type="dxa"/>
          </w:tcPr>
          <w:p>
            <w:r>
              <w:rPr>
                <w:color w:val="1F2937"/>
                <w:sz w:val="20"/>
              </w:rPr>
              <w:t xml:space="preserve">models/model.pkl</w:t>
            </w:r>
          </w:p>
        </w:tc>
      </w:tr>
      <w:tr>
        <w:tc>
          <w:tcPr>
            <w:tcW w:w="1200" w:type="dxa"/>
          </w:tcPr>
          <w:p>
            <w:r>
              <w:rPr>
                <w:color w:val="1F2937"/>
                <w:sz w:val="20"/>
              </w:rPr>
              <w:t xml:space="preserve">evaluate</w:t>
            </w:r>
          </w:p>
        </w:tc>
        <w:tc>
          <w:tcPr>
            <w:tcW w:w="1900" w:type="dxa"/>
          </w:tcPr>
          <w:p>
            <w:r>
              <w:rPr>
                <w:color w:val="1F2937"/>
                <w:sz w:val="20"/>
              </w:rPr>
              <w:t xml:space="preserve">python scripts/evaluate.py</w:t>
            </w:r>
          </w:p>
        </w:tc>
        <w:tc>
          <w:tcPr>
            <w:tcW w:w="3900" w:type="dxa"/>
          </w:tcPr>
          <w:p>
            <w:r>
              <w:rPr>
                <w:color w:val="1F2937"/>
                <w:sz w:val="20"/>
              </w:rPr>
              <w:t xml:space="preserve">loans_clean.csv, books_catalog.csv, scripts/evaluate.py, moteur_recommandation.py</w:t>
            </w:r>
          </w:p>
        </w:tc>
        <w:tc>
          <w:tcPr>
            <w:tcW w:w="2000" w:type="dxa"/>
          </w:tcPr>
          <w:p>
            <w:r>
              <w:rPr>
                <w:color w:val="1F2937"/>
                <w:sz w:val="20"/>
              </w:rPr>
              <w:t xml:space="preserve">metrics/metrics.json</w:t>
            </w:r>
          </w:p>
        </w:tc>
      </w:tr>
    </w:tbl>
    <w:p>
      <w:r>
        <w:rPr>
          <w:color w:val="1F2937"/>
          <w:sz w:val="22"/>
        </w:rPr>
        <w:t xml:space="preserve"/>
      </w:r>
    </w:p>
    <w:p>
      <w:pPr>
        <w:pStyle w:val="Heading1"/>
      </w:pPr>
      <w:r>
        <w:rPr>
          <w:b/>
          <w:color w:val="064E3B"/>
          <w:sz w:val="30"/>
        </w:rPr>
        <w:t xml:space="preserve">7. Métriques du modèle</w:t>
      </w:r>
    </w:p>
    <w:p>
      <w:r>
        <w:rPr>
          <w:color w:val="1F2937"/>
          <w:sz w:val="22"/>
        </w:rPr>
        <w:t xml:space="preserve">Algorithme: Hybride collaboratif + sémantique. Modèle sémantique: AventIQ-AI/all-MiniLM-L6-v2-book-recommendation-system.</w:t>
      </w:r>
    </w:p>
    <w:tbl>
      <w:tblPr>
        <w:tblStyle w:val="TableGrid"/>
        <w:tblW w:w="0" w:type="auto"/>
        <w:tblBorders>
          <w:top w:val="single" w:sz="4" w:color="B7C7BD"/>
          <w:left w:val="single" w:sz="4" w:color="B7C7BD"/>
          <w:bottom w:val="single" w:sz="4" w:color="B7C7BD"/>
          <w:right w:val="single" w:sz="4" w:color="B7C7BD"/>
          <w:insideH w:val="single" w:sz="4" w:color="B7C7BD"/>
          <w:insideV w:val="single" w:sz="4" w:color="B7C7BD"/>
        </w:tblBorders>
      </w:tblPr>
      <w:tblGrid>
        <w:gridCol w:w="3000"/>
        <w:gridCol w:w="3000"/>
      </w:tblGrid>
      <w:tr>
        <w:tc>
          <w:tcPr>
            <w:tcW w:w="3000" w:type="dxa"/>
            <w:shd w:fill="064E3B"/>
          </w:tcPr>
          <w:p>
            <w:r>
              <w:rPr>
                <w:b/>
                <w:color w:val="FFFFFF"/>
                <w:sz w:val="20"/>
              </w:rPr>
              <w:t xml:space="preserve">Métrique</w:t>
            </w:r>
          </w:p>
        </w:tc>
        <w:tc>
          <w:tcPr>
            <w:tcW w:w="3000" w:type="dxa"/>
            <w:shd w:fill="064E3B"/>
          </w:tcPr>
          <w:p>
            <w:r>
              <w:rPr>
                <w:b/>
                <w:color w:val="FFFFFF"/>
                <w:sz w:val="20"/>
              </w:rPr>
              <w:t xml:space="preserve">Valeur</w:t>
            </w:r>
          </w:p>
        </w:tc>
      </w:tr>
      <w:tr>
        <w:tc>
          <w:tcPr>
            <w:tcW w:w="3000" w:type="dxa"/>
          </w:tcPr>
          <w:p>
            <w:r>
              <w:rPr>
                <w:color w:val="1F2937"/>
                <w:sz w:val="20"/>
              </w:rPr>
              <w:t xml:space="preserve">RMSE</w:t>
            </w:r>
          </w:p>
        </w:tc>
        <w:tc>
          <w:tcPr>
            <w:tcW w:w="3000" w:type="dxa"/>
          </w:tcPr>
          <w:p>
            <w:r>
              <w:rPr>
                <w:color w:val="1F2937"/>
                <w:sz w:val="20"/>
              </w:rPr>
              <w:t xml:space="preserve">0.1354</w:t>
            </w:r>
          </w:p>
        </w:tc>
      </w:tr>
      <w:tr>
        <w:tc>
          <w:tcPr>
            <w:tcW w:w="3000" w:type="dxa"/>
          </w:tcPr>
          <w:p>
            <w:r>
              <w:rPr>
                <w:color w:val="1F2937"/>
                <w:sz w:val="20"/>
              </w:rPr>
              <w:t xml:space="preserve">MAE</w:t>
            </w:r>
          </w:p>
        </w:tc>
        <w:tc>
          <w:tcPr>
            <w:tcW w:w="3000" w:type="dxa"/>
          </w:tcPr>
          <w:p>
            <w:r>
              <w:rPr>
                <w:color w:val="1F2937"/>
                <w:sz w:val="20"/>
              </w:rPr>
              <w:t xml:space="preserve">0.1019</w:t>
            </w:r>
          </w:p>
        </w:tc>
      </w:tr>
      <w:tr>
        <w:tc>
          <w:tcPr>
            <w:tcW w:w="3000" w:type="dxa"/>
          </w:tcPr>
          <w:p>
            <w:r>
              <w:rPr>
                <w:color w:val="1F2937"/>
                <w:sz w:val="20"/>
              </w:rPr>
              <w:t xml:space="preserve">Observations de test</w:t>
            </w:r>
          </w:p>
        </w:tc>
        <w:tc>
          <w:tcPr>
            <w:tcW w:w="3000" w:type="dxa"/>
          </w:tcPr>
          <w:p>
            <w:r>
              <w:rPr>
                <w:color w:val="1F2937"/>
                <w:sz w:val="20"/>
              </w:rPr>
              <w:t xml:space="preserve">7</w:t>
            </w:r>
          </w:p>
        </w:tc>
      </w:tr>
      <w:tr>
        <w:tc>
          <w:tcPr>
            <w:tcW w:w="3000" w:type="dxa"/>
          </w:tcPr>
          <w:p>
            <w:r>
              <w:rPr>
                <w:color w:val="1F2937"/>
                <w:sz w:val="20"/>
              </w:rPr>
              <w:t xml:space="preserve">Utilisateurs train</w:t>
            </w:r>
          </w:p>
        </w:tc>
        <w:tc>
          <w:tcPr>
            <w:tcW w:w="3000" w:type="dxa"/>
          </w:tcPr>
          <w:p>
            <w:r>
              <w:rPr>
                <w:color w:val="1F2937"/>
                <w:sz w:val="20"/>
              </w:rPr>
              <w:t xml:space="preserve">7</w:t>
            </w:r>
          </w:p>
        </w:tc>
      </w:tr>
      <w:tr>
        <w:tc>
          <w:tcPr>
            <w:tcW w:w="3000" w:type="dxa"/>
          </w:tcPr>
          <w:p>
            <w:r>
              <w:rPr>
                <w:color w:val="1F2937"/>
                <w:sz w:val="20"/>
              </w:rPr>
              <w:t xml:space="preserve">Livres train</w:t>
            </w:r>
          </w:p>
        </w:tc>
        <w:tc>
          <w:tcPr>
            <w:tcW w:w="3000" w:type="dxa"/>
          </w:tcPr>
          <w:p>
            <w:r>
              <w:rPr>
                <w:color w:val="1F2937"/>
                <w:sz w:val="20"/>
              </w:rPr>
              <w:t xml:space="preserve">5</w:t>
            </w:r>
          </w:p>
        </w:tc>
      </w:tr>
    </w:tbl>
    <w:p>
      <w:r>
        <w:rPr>
          <w:color w:val="1F2937"/>
          <w:sz w:val="22"/>
        </w:rPr>
        <w:t xml:space="preserve"/>
      </w:r>
    </w:p>
    <w:p>
      <w:pPr>
        <w:jc w:val="center"/>
      </w:pPr>
      <w:r>
        <w:drawing>
          <wp:inline xmlns:wp="http://schemas.openxmlformats.org/drawingml/2006/wordprocessingDrawing" distT="0" distB="0" distL="0" distR="0">
            <wp:extent cx="4937760" cy="3136789"/>
            <wp:docPr id="12" name="metriques_modele.png"/>
            <a:graphic xmlns:a="http://schemas.openxmlformats.org/drawingml/2006/main">
              <a:graphicData uri="http://schemas.openxmlformats.org/drawingml/2006/picture">
                <pic:pic xmlns:pic="http://schemas.openxmlformats.org/drawingml/2006/picture">
                  <pic:nvPicPr>
                    <pic:cNvPr id="0" name="metriques_modele.png"/>
                    <pic:cNvPicPr/>
                  </pic:nvPicPr>
                  <pic:blipFill>
                    <a:blip xmlns:r="http://schemas.openxmlformats.org/officeDocument/2006/relationships" r:embed="rId12"/>
                    <a:stretch>
                      <a:fillRect/>
                    </a:stretch>
                  </pic:blipFill>
                  <pic:spPr>
                    <a:xfrm>
                      <a:off x="0" y="0"/>
                      <a:ext cx="4937760" cy="3136789"/>
                    </a:xfrm>
                    <a:prstGeom prst="rect">
                      <a:avLst/>
                    </a:prstGeom>
                  </pic:spPr>
                </pic:pic>
              </a:graphicData>
            </a:graphic>
          </wp:inline>
        </w:drawing>
      </w:r>
    </w:p>
    <w:p>
      <w:pPr>
        <w:jc w:val="center"/>
      </w:pPr>
      <w:r>
        <w:rPr>
          <w:color w:val="4B5563"/>
          <w:sz w:val="18"/>
        </w:rPr>
        <w:t xml:space="preserve">Visualisation des métriques RMSE et MAE</w:t>
      </w:r>
    </w:p>
    <w:p>
      <w:pPr>
        <w:pStyle w:val="Heading1"/>
      </w:pPr>
      <w:r>
        <w:rPr>
          <w:b/>
          <w:color w:val="064E3B"/>
          <w:sz w:val="30"/>
        </w:rPr>
        <w:t xml:space="preserve">8. Captures d'écran</w:t>
      </w:r>
    </w:p>
    <w:p>
      <w:r>
        <w:rPr>
          <w:color w:val="1F2937"/>
          <w:sz w:val="22"/>
        </w:rPr>
        <w:t xml:space="preserve">Les captures ci-dessous ont été générées depuis les pages frontend du projet. Si les APIs backend ne sont pas lancées au moment de la capture, certains blocs dynamiques peuvent rester vides ou afficher un état d'erreur.</w:t>
      </w:r>
    </w:p>
    <w:p>
      <w:pPr>
        <w:jc w:val="center"/>
      </w:pPr>
      <w:r>
        <w:drawing>
          <wp:inline xmlns:wp="http://schemas.openxmlformats.org/drawingml/2006/wordprocessingDrawing" distT="0" distB="0" distL="0" distR="0">
            <wp:extent cx="5760720" cy="4000500"/>
            <wp:docPr id="13" name="capture_accueil.png"/>
            <a:graphic xmlns:a="http://schemas.openxmlformats.org/drawingml/2006/main">
              <a:graphicData uri="http://schemas.openxmlformats.org/drawingml/2006/picture">
                <pic:pic xmlns:pic="http://schemas.openxmlformats.org/drawingml/2006/picture">
                  <pic:nvPicPr>
                    <pic:cNvPr id="0" name="capture_accueil.png"/>
                    <pic:cNvPicPr/>
                  </pic:nvPicPr>
                  <pic:blipFill>
                    <a:blip xmlns:r="http://schemas.openxmlformats.org/officeDocument/2006/relationships" r:embed="rId13"/>
                    <a:stretch>
                      <a:fillRect/>
                    </a:stretch>
                  </pic:blipFill>
                  <pic:spPr>
                    <a:xfrm>
                      <a:off x="0" y="0"/>
                      <a:ext cx="5760720" cy="4000500"/>
                    </a:xfrm>
                    <a:prstGeom prst="rect">
                      <a:avLst/>
                    </a:prstGeom>
                  </pic:spPr>
                </pic:pic>
              </a:graphicData>
            </a:graphic>
          </wp:inline>
        </w:drawing>
      </w:r>
    </w:p>
    <w:p>
      <w:pPr>
        <w:jc w:val="center"/>
      </w:pPr>
      <w:r>
        <w:rPr>
          <w:color w:val="4B5563"/>
          <w:sz w:val="18"/>
        </w:rPr>
        <w:t xml:space="preserve">Page d'accueil de DIT Librairie</w:t>
      </w:r>
    </w:p>
    <w:p>
      <w:pPr>
        <w:jc w:val="center"/>
      </w:pPr>
      <w:r>
        <w:drawing>
          <wp:inline xmlns:wp="http://schemas.openxmlformats.org/drawingml/2006/wordprocessingDrawing" distT="0" distB="0" distL="0" distR="0">
            <wp:extent cx="5760720" cy="4000500"/>
            <wp:docPr id="14" name="capture_livres.png"/>
            <a:graphic xmlns:a="http://schemas.openxmlformats.org/drawingml/2006/main">
              <a:graphicData uri="http://schemas.openxmlformats.org/drawingml/2006/picture">
                <pic:pic xmlns:pic="http://schemas.openxmlformats.org/drawingml/2006/picture">
                  <pic:nvPicPr>
                    <pic:cNvPr id="0" name="capture_livres.png"/>
                    <pic:cNvPicPr/>
                  </pic:nvPicPr>
                  <pic:blipFill>
                    <a:blip xmlns:r="http://schemas.openxmlformats.org/officeDocument/2006/relationships" r:embed="rId14"/>
                    <a:stretch>
                      <a:fillRect/>
                    </a:stretch>
                  </pic:blipFill>
                  <pic:spPr>
                    <a:xfrm>
                      <a:off x="0" y="0"/>
                      <a:ext cx="5760720" cy="4000500"/>
                    </a:xfrm>
                    <a:prstGeom prst="rect">
                      <a:avLst/>
                    </a:prstGeom>
                  </pic:spPr>
                </pic:pic>
              </a:graphicData>
            </a:graphic>
          </wp:inline>
        </w:drawing>
      </w:r>
    </w:p>
    <w:p>
      <w:pPr>
        <w:jc w:val="center"/>
      </w:pPr>
      <w:r>
        <w:rPr>
          <w:color w:val="4B5563"/>
          <w:sz w:val="18"/>
        </w:rPr>
        <w:t xml:space="preserve">Page catalogue et recherche de livres</w:t>
      </w:r>
    </w:p>
    <w:p>
      <w:pPr>
        <w:jc w:val="center"/>
      </w:pPr>
      <w:r>
        <w:drawing>
          <wp:inline xmlns:wp="http://schemas.openxmlformats.org/drawingml/2006/wordprocessingDrawing" distT="0" distB="0" distL="0" distR="0">
            <wp:extent cx="5760720" cy="4000500"/>
            <wp:docPr id="15" name="capture_connexion.png"/>
            <a:graphic xmlns:a="http://schemas.openxmlformats.org/drawingml/2006/main">
              <a:graphicData uri="http://schemas.openxmlformats.org/drawingml/2006/picture">
                <pic:pic xmlns:pic="http://schemas.openxmlformats.org/drawingml/2006/picture">
                  <pic:nvPicPr>
                    <pic:cNvPr id="0" name="capture_connexion.png"/>
                    <pic:cNvPicPr/>
                  </pic:nvPicPr>
                  <pic:blipFill>
                    <a:blip xmlns:r="http://schemas.openxmlformats.org/officeDocument/2006/relationships" r:embed="rId15"/>
                    <a:stretch>
                      <a:fillRect/>
                    </a:stretch>
                  </pic:blipFill>
                  <pic:spPr>
                    <a:xfrm>
                      <a:off x="0" y="0"/>
                      <a:ext cx="5760720" cy="4000500"/>
                    </a:xfrm>
                    <a:prstGeom prst="rect">
                      <a:avLst/>
                    </a:prstGeom>
                  </pic:spPr>
                </pic:pic>
              </a:graphicData>
            </a:graphic>
          </wp:inline>
        </w:drawing>
      </w:r>
    </w:p>
    <w:p>
      <w:pPr>
        <w:jc w:val="center"/>
      </w:pPr>
      <w:r>
        <w:rPr>
          <w:color w:val="4B5563"/>
          <w:sz w:val="18"/>
        </w:rPr>
        <w:t xml:space="preserve">Page de connexion</w:t>
      </w:r>
    </w:p>
    <w:p>
      <w:pPr>
        <w:pStyle w:val="Heading1"/>
      </w:pPr>
      <w:r>
        <w:rPr>
          <w:b/>
          <w:color w:val="064E3B"/>
          <w:sz w:val="30"/>
        </w:rPr>
        <w:t xml:space="preserve">9. Utilité de dvc.lock</w:t>
      </w:r>
    </w:p>
    <w:p>
      <w:r>
        <w:rPr>
          <w:color w:val="1F2937"/>
          <w:sz w:val="22"/>
        </w:rPr>
        <w:t xml:space="preserve">Le fichier dvc.lock est le journal de reproductibilité du pipeline DVC. Il fige, pour chaque étape, la commande exécutée, les dépendances exactes, les sorties produites, les tailles et les empreintes md5.</w:t>
      </w:r>
    </w:p>
    <w:p>
      <w:pPr>
        <w:pStyle w:val="ListBullet"/>
      </w:pPr>
      <w:r>
        <w:rPr>
          <w:color w:val="1F2937"/>
          <w:sz w:val="22"/>
        </w:rPr>
        <w:t xml:space="preserve">Il permet à DVC de savoir si une étape doit être rejouée ou si ses sorties sont encore valides.</w:t>
      </w:r>
    </w:p>
    <w:p>
      <w:pPr>
        <w:pStyle w:val="ListBullet"/>
      </w:pPr>
      <w:r>
        <w:rPr>
          <w:color w:val="1F2937"/>
          <w:sz w:val="22"/>
        </w:rPr>
        <w:t xml:space="preserve">Il garantit qu'un autre membre de l'équipe peut reproduire le même pipeline à partir des mêmes versions de données et de scripts.</w:t>
      </w:r>
    </w:p>
    <w:p>
      <w:pPr>
        <w:pStyle w:val="ListBullet"/>
      </w:pPr>
      <w:r>
        <w:rPr>
          <w:color w:val="1F2937"/>
          <w:sz w:val="22"/>
        </w:rPr>
        <w:t xml:space="preserve">Il documente les artefacts produits: loans_clean.csv, model.pkl et metrics.json.</w:t>
      </w:r>
    </w:p>
    <w:p>
      <w:pPr>
        <w:pStyle w:val="ListBullet"/>
      </w:pPr>
      <w:r>
        <w:rPr>
          <w:color w:val="1F2937"/>
          <w:sz w:val="22"/>
        </w:rPr>
        <w:t xml:space="preserve">Il facilite les revues Git, car une modification du modèle ou des données devient visible par changement d'empreinte.</w:t>
      </w:r>
    </w:p>
    <w:p>
      <w:pPr>
        <w:pStyle w:val="Heading1"/>
      </w:pPr>
      <w:r>
        <w:rPr>
          <w:b/>
          <w:color w:val="064E3B"/>
          <w:sz w:val="30"/>
        </w:rPr>
        <w:t xml:space="preserve">10. Informations utiles</w:t>
      </w:r>
    </w:p>
    <w:p>
      <w:pPr>
        <w:pStyle w:val="ListBullet"/>
      </w:pPr>
      <w:r>
        <w:rPr>
          <w:color w:val="1F2937"/>
          <w:sz w:val="22"/>
        </w:rPr>
        <w:t xml:space="preserve">Lancement dev: docker compose --profile dev up --build.</w:t>
      </w:r>
    </w:p>
    <w:p>
      <w:pPr>
        <w:pStyle w:val="ListBullet"/>
      </w:pPr>
      <w:r>
        <w:rPr>
          <w:color w:val="1F2937"/>
          <w:sz w:val="22"/>
        </w:rPr>
        <w:t xml:space="preserve">Lancement prod local: docker compose --profile prod up --build.</w:t>
      </w:r>
    </w:p>
    <w:p>
      <w:pPr>
        <w:pStyle w:val="ListBullet"/>
      </w:pPr>
      <w:r>
        <w:rPr>
          <w:color w:val="1F2937"/>
          <w:sz w:val="22"/>
        </w:rPr>
        <w:t xml:space="preserve">Compte admin par défaut: ditadmin / AdminDIT123!.</w:t>
      </w:r>
    </w:p>
    <w:p>
      <w:pPr>
        <w:pStyle w:val="ListBullet"/>
      </w:pPr>
      <w:r>
        <w:rPr>
          <w:color w:val="1F2937"/>
          <w:sz w:val="22"/>
        </w:rPr>
        <w:t xml:space="preserve">Compte gestionnaire par défaut: manager1 / manager.</w:t>
      </w:r>
    </w:p>
    <w:p>
      <w:pPr>
        <w:pStyle w:val="ListBullet"/>
      </w:pPr>
      <w:r>
        <w:rPr>
          <w:color w:val="1F2937"/>
          <w:sz w:val="22"/>
        </w:rPr>
        <w:t xml:space="preserve">Les migrations Django et les seeds d'administration sont exécutés automatiquement au démarrage des services concernés.</w:t>
      </w:r>
    </w:p>
    <w:p>
      <w:pPr>
        <w:pStyle w:val="ListBullet"/>
      </w:pPr>
      <w:r>
        <w:rPr>
          <w:color w:val="1F2937"/>
          <w:sz w:val="22"/>
        </w:rPr>
        <w:t xml:space="preserve">Le frontend utilise localStorage pour conserver la session et envoie le rôle dans les en-têtes HTTP.</w:t>
      </w:r>
    </w:p>
    <w:p>
      <w:pPr>
        <w:pStyle w:val="ListBullet"/>
      </w:pPr>
      <w:r>
        <w:rPr>
          <w:color w:val="1F2937"/>
          <w:sz w:val="22"/>
        </w:rPr>
        <w:t xml:space="preserve">Les services statistiques et recommandation sont des services d'agrégation: ils ne possèdent pas la donnée métier principale, ils la récupèrent depuis les APIs existantes.</w:t>
      </w:r>
    </w:p>
    <w:sectPr>
      <w:pgSz w:w="11906" w:h="16838"/>
      <w:pgMar w:top="850" w:right="850" w:bottom="850" w:left="850"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sz w:val="22"/>
      <w:color w:val="1F2937"/>
    </w:rPr>
    <w:pPr>
      <w:spacing w:after="140" w:line="276" w:lineRule="auto"/>
    </w:pPr>
  </w:style>
  <w:style w:type="paragraph" w:styleId="Title">
    <w:name w:val="Title"/>
    <w:basedOn w:val="Normal"/>
    <w:pPr>
      <w:jc w:val="center"/>
      <w:shd w:fill="064E3B"/>
      <w:spacing w:before="240" w:after="240"/>
    </w:pPr>
    <w:rPr>
      <w:b/>
      <w:sz w:val="38"/>
      <w:color w:val="FFFFFF"/>
    </w:rPr>
  </w:style>
  <w:style w:type="paragraph" w:styleId="Heading1">
    <w:name w:val="heading 1"/>
    <w:basedOn w:val="Normal"/>
    <w:pPr>
      <w:spacing w:before="260" w:after="120"/>
      <w:outlineLvl w:val="0"/>
    </w:pPr>
    <w:rPr>
      <w:b/>
      <w:sz w:val="30"/>
      <w:color w:val="064E3B"/>
    </w:rPr>
  </w:style>
  <w:style w:type="paragraph" w:styleId="Heading2">
    <w:name w:val="heading 2"/>
    <w:basedOn w:val="Normal"/>
    <w:pPr>
      <w:spacing w:before="180" w:after="80"/>
      <w:outlineLvl w:val="1"/>
    </w:pPr>
    <w:rPr>
      <w:b/>
      <w:sz w:val="25"/>
      <w:color w:val="0F5132"/>
    </w:rPr>
  </w:style>
  <w:style w:type="paragraph" w:styleId="ListBullet">
    <w:name w:val="List Bullet"/>
    <w:basedOn w:val="Normal"/>
    <w:pPr>
      <w:ind w:left="420" w:hanging="180"/>
    </w:pPr>
  </w:style>
  <w:style w:type="table" w:styleId="TableGrid">
    <w:name w:val="Table Grid"/>
    <w:tblPr>
      <w:tblBorders>
        <w:top w:val="single" w:sz="4" w:color="B7C7BD"/>
        <w:left w:val="single" w:sz="4" w:color="B7C7BD"/>
        <w:bottom w:val="single" w:sz="4" w:color="B7C7BD"/>
        <w:right w:val="single" w:sz="4" w:color="B7C7BD"/>
        <w:insideH w:val="single" w:sz="4" w:color="B7C7BD"/>
        <w:insideV w:val="single" w:sz="4" w:color="B7C7BD"/>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