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843BD" w14:textId="77777777" w:rsidR="00A51D1C" w:rsidRDefault="00000000" w:rsidP="006E0E45">
      <w:pPr>
        <w:spacing w:after="240"/>
        <w:jc w:val="center"/>
      </w:pPr>
      <w:r>
        <w:rPr>
          <w:b/>
          <w:bCs/>
          <w:sz w:val="30"/>
          <w:szCs w:val="30"/>
        </w:rPr>
        <w:t>Tracing motivated reasoning in the Donation Bet</w:t>
      </w:r>
    </w:p>
    <w:p w14:paraId="26DB74E4" w14:textId="77777777" w:rsidR="00A51D1C" w:rsidRDefault="00000000">
      <w:pPr>
        <w:spacing w:after="160"/>
        <w:jc w:val="center"/>
      </w:pPr>
      <w:r>
        <w:rPr>
          <w:sz w:val="24"/>
          <w:szCs w:val="24"/>
        </w:rPr>
        <w:t>Marie Cordes, September 2026</w:t>
      </w:r>
    </w:p>
    <w:p w14:paraId="4C201064" w14:textId="77777777" w:rsidR="00A51D1C" w:rsidRDefault="00000000">
      <w:pPr>
        <w:spacing w:after="360"/>
        <w:ind w:left="850" w:right="850"/>
        <w:jc w:val="center"/>
      </w:pPr>
      <w:r>
        <w:rPr>
          <w:i/>
          <w:iCs/>
          <w:color w:val="404040"/>
          <w:sz w:val="19"/>
          <w:szCs w:val="19"/>
        </w:rPr>
        <w:t>Independent research project extending an existing replication of the Donation Bet, undertaken to build hands-on experience in chain-of-thought faithfulness research.</w:t>
      </w:r>
    </w:p>
    <w:p w14:paraId="0521A3B3" w14:textId="77777777" w:rsidR="00A51D1C" w:rsidRDefault="00000000">
      <w:pPr>
        <w:pStyle w:val="Heading1"/>
        <w:spacing w:after="120"/>
        <w:jc w:val="center"/>
      </w:pPr>
      <w:r>
        <w:t>Summary</w:t>
      </w:r>
    </w:p>
    <w:p w14:paraId="7691B58F" w14:textId="77777777" w:rsidR="00A51D1C" w:rsidRDefault="00000000" w:rsidP="001E66ED">
      <w:pPr>
        <w:tabs>
          <w:tab w:val="left" w:pos="1134"/>
        </w:tabs>
        <w:spacing w:after="60"/>
        <w:ind w:right="-2" w:firstLine="400"/>
        <w:jc w:val="both"/>
      </w:pPr>
      <w:r>
        <w:rPr>
          <w:sz w:val="20"/>
          <w:szCs w:val="20"/>
        </w:rPr>
        <w:t xml:space="preserve">Betley et al.’s (2026) Donation Bet asks a model to estimate the total number of black giraffe spots worldwide. A donation goes to a good or bad cause depending on which side of a threshold the answer falls. This should be irrelevant to the estimate, but models’ answers tend to move toward the side that benefits the good cause. I measure this as the </w:t>
      </w:r>
      <w:r>
        <w:rPr>
          <w:i/>
          <w:iCs/>
          <w:sz w:val="20"/>
          <w:szCs w:val="20"/>
        </w:rPr>
        <w:t>shift</w:t>
      </w:r>
      <w:r>
        <w:rPr>
          <w:sz w:val="20"/>
          <w:szCs w:val="20"/>
        </w:rPr>
        <w:t>: how much more often answers land above the threshold when that side benefits the good cause than when the other side does (0 means no effect; 1 means every answer follows the incentive). I ask: when an irrelevant incentive shifts a model’s answer, how faithfully does its visible reasoning reflect and explain that shift?</w:t>
      </w:r>
    </w:p>
    <w:p w14:paraId="4EEF1D3E" w14:textId="4A483F60" w:rsidR="00A51D1C" w:rsidRDefault="00000000" w:rsidP="006E0E45">
      <w:pPr>
        <w:spacing w:after="60"/>
        <w:ind w:right="-2" w:firstLine="400"/>
        <w:jc w:val="both"/>
      </w:pPr>
      <w:r>
        <w:rPr>
          <w:sz w:val="20"/>
          <w:szCs w:val="20"/>
        </w:rPr>
        <w:t xml:space="preserve">Starting from an existing repository that replicated the paper’s result, I built a framework to test four complementary dimensions of faithfulness: </w:t>
      </w:r>
      <w:r>
        <w:rPr>
          <w:b/>
          <w:bCs/>
          <w:sz w:val="20"/>
          <w:szCs w:val="20"/>
        </w:rPr>
        <w:t>TELL</w:t>
      </w:r>
      <w:r>
        <w:rPr>
          <w:sz w:val="20"/>
          <w:szCs w:val="20"/>
        </w:rPr>
        <w:t xml:space="preserve"> asks whether the reasoning </w:t>
      </w:r>
      <w:r>
        <w:rPr>
          <w:b/>
          <w:bCs/>
          <w:sz w:val="20"/>
          <w:szCs w:val="20"/>
        </w:rPr>
        <w:t>tells</w:t>
      </w:r>
      <w:r>
        <w:rPr>
          <w:sz w:val="20"/>
          <w:szCs w:val="20"/>
        </w:rPr>
        <w:t xml:space="preserve"> us that the incentive influenced the estimate. </w:t>
      </w:r>
      <w:r>
        <w:rPr>
          <w:b/>
          <w:bCs/>
          <w:sz w:val="20"/>
          <w:szCs w:val="20"/>
        </w:rPr>
        <w:t>AIM</w:t>
      </w:r>
      <w:r>
        <w:rPr>
          <w:sz w:val="20"/>
          <w:szCs w:val="20"/>
        </w:rPr>
        <w:t xml:space="preserve"> asks what allows the model to </w:t>
      </w:r>
      <w:r>
        <w:rPr>
          <w:b/>
          <w:bCs/>
          <w:sz w:val="20"/>
          <w:szCs w:val="20"/>
        </w:rPr>
        <w:t>aim</w:t>
      </w:r>
      <w:r>
        <w:rPr>
          <w:sz w:val="20"/>
          <w:szCs w:val="20"/>
        </w:rPr>
        <w:t xml:space="preserve"> at the rewarded outcome. </w:t>
      </w:r>
      <w:r>
        <w:rPr>
          <w:b/>
          <w:bCs/>
          <w:sz w:val="20"/>
          <w:szCs w:val="20"/>
        </w:rPr>
        <w:t>KNOW</w:t>
      </w:r>
      <w:r>
        <w:rPr>
          <w:sz w:val="20"/>
          <w:szCs w:val="20"/>
        </w:rPr>
        <w:t xml:space="preserve"> asks whether the model appears to </w:t>
      </w:r>
      <w:r>
        <w:rPr>
          <w:b/>
          <w:bCs/>
          <w:sz w:val="20"/>
          <w:szCs w:val="20"/>
        </w:rPr>
        <w:t>know</w:t>
      </w:r>
      <w:r>
        <w:rPr>
          <w:sz w:val="20"/>
          <w:szCs w:val="20"/>
        </w:rPr>
        <w:t xml:space="preserve"> where its answer is heading, by pausing its reasoning, asking for its current estimate, and checking whether that estimate predicts where the reasoning lands when allowed to continue. </w:t>
      </w:r>
      <w:r>
        <w:rPr>
          <w:b/>
          <w:bCs/>
          <w:sz w:val="20"/>
          <w:szCs w:val="20"/>
        </w:rPr>
        <w:t>CAUSE</w:t>
      </w:r>
      <w:r>
        <w:rPr>
          <w:sz w:val="20"/>
          <w:szCs w:val="20"/>
        </w:rPr>
        <w:t xml:space="preserve"> asks what </w:t>
      </w:r>
      <w:r>
        <w:rPr>
          <w:b/>
          <w:bCs/>
          <w:sz w:val="20"/>
          <w:szCs w:val="20"/>
        </w:rPr>
        <w:t>causes</w:t>
      </w:r>
      <w:r>
        <w:rPr>
          <w:sz w:val="20"/>
          <w:szCs w:val="20"/>
        </w:rPr>
        <w:t xml:space="preserve"> the model’s answer to shift toward the reward, by changing an early number in its reasoning and measuring whether the final answer moves. TELL analyzes 400 reasoning traces from ten models. The deeper tests focus on Qwen 3.5 122B A10B (Qwen)</w:t>
      </w:r>
      <w:r w:rsidR="001E66ED">
        <w:rPr>
          <w:sz w:val="20"/>
          <w:szCs w:val="20"/>
        </w:rPr>
        <w:t xml:space="preserve"> </w:t>
      </w:r>
      <w:r>
        <w:rPr>
          <w:sz w:val="20"/>
          <w:szCs w:val="20"/>
        </w:rPr>
        <w:t>because it showed the largest shift and its full reasoning can be resumed from any point.</w:t>
      </w:r>
    </w:p>
    <w:p w14:paraId="4641BBC0" w14:textId="77777777" w:rsidR="00A51D1C" w:rsidRDefault="00000000" w:rsidP="006E0E45">
      <w:pPr>
        <w:spacing w:after="60"/>
        <w:ind w:right="-2" w:firstLine="400"/>
        <w:jc w:val="both"/>
      </w:pPr>
      <w:r>
        <w:rPr>
          <w:b/>
          <w:bCs/>
          <w:sz w:val="20"/>
          <w:szCs w:val="20"/>
        </w:rPr>
        <w:t>TELL: Qwen usually discloses the influence, but this differs across models.</w:t>
      </w:r>
      <w:r>
        <w:rPr>
          <w:sz w:val="20"/>
          <w:szCs w:val="20"/>
        </w:rPr>
        <w:t xml:space="preserve"> Qwen’s reasoning openly says the donation affected its estimate in 33 of 40 traces. Claude Opus 4.7’s reasoning denies any influence in 25 of 40, even though its answers shift. The labels come from an LLM judge that, when asked to judge the same traces a second time, agreed with its first label on only 63% of them, so this broad contrast holds up, but finer rankings between models do not.</w:t>
      </w:r>
    </w:p>
    <w:p w14:paraId="62CC81A0" w14:textId="77777777" w:rsidR="00A51D1C" w:rsidRDefault="00000000" w:rsidP="006E0E45">
      <w:pPr>
        <w:spacing w:after="60"/>
        <w:ind w:right="-2" w:firstLine="400"/>
        <w:jc w:val="both"/>
      </w:pPr>
      <w:r>
        <w:rPr>
          <w:b/>
          <w:bCs/>
          <w:sz w:val="20"/>
          <w:szCs w:val="20"/>
        </w:rPr>
        <w:t>AIM: the incentive needs an actionable numerical target.</w:t>
      </w:r>
      <w:r>
        <w:rPr>
          <w:sz w:val="20"/>
          <w:szCs w:val="20"/>
        </w:rPr>
        <w:t xml:space="preserve"> Qwen’s shift is 0.526 in the ordinary Donation Bet, 0.167 when the prompt still describes the bet and which side benefits the good cause but leaves out the threshold number, and 1.000 when explicitly told to aim. In the ordinary and instructed versions, tracking the numbers Qwen writes while reasoning shows that above-pays and below-pays runs differ from the very first estimate, rather than drifting apart later. In other words, the incentive only strongly steers the answer when the model knows the number it needs to beat.</w:t>
      </w:r>
    </w:p>
    <w:p w14:paraId="5A95BEE6" w14:textId="77777777" w:rsidR="00A51D1C" w:rsidRDefault="00000000" w:rsidP="006E0E45">
      <w:pPr>
        <w:spacing w:after="60"/>
        <w:ind w:right="-2" w:firstLine="400"/>
        <w:jc w:val="both"/>
      </w:pPr>
      <w:r>
        <w:rPr>
          <w:b/>
          <w:bCs/>
          <w:sz w:val="20"/>
          <w:szCs w:val="20"/>
        </w:rPr>
        <w:t>KNOW: when paused, the model’s stated estimate predicts where its reasoning will land.</w:t>
      </w:r>
      <w:r>
        <w:rPr>
          <w:sz w:val="20"/>
          <w:szCs w:val="20"/>
        </w:rPr>
        <w:t xml:space="preserve"> I paused Qwen at 25%, 50%, and 75% of its reasoning trace, asked for its current best estimate, and separately let the reasoning continue six times from the same point. The stated estimate generally matched the median final answer of those continuations, and was not systematically tilted toward the side that benefits the good cause. What the model says about its current estimate is therefore a good guide to where it is heading, though this does not show that the stated estimate causes the final answer.</w:t>
      </w:r>
    </w:p>
    <w:p w14:paraId="3DC96D59" w14:textId="77777777" w:rsidR="00A51D1C" w:rsidRDefault="00000000" w:rsidP="006E0E45">
      <w:pPr>
        <w:spacing w:after="60"/>
        <w:ind w:right="-2" w:firstLine="400"/>
        <w:jc w:val="both"/>
      </w:pPr>
      <w:r>
        <w:rPr>
          <w:b/>
          <w:bCs/>
          <w:sz w:val="20"/>
          <w:szCs w:val="20"/>
        </w:rPr>
        <w:t>CAUSE: the first spots-per-giraffe estimate matters, but determines little.</w:t>
      </w:r>
      <w:r>
        <w:rPr>
          <w:sz w:val="20"/>
          <w:szCs w:val="20"/>
        </w:rPr>
        <w:t xml:space="preserve"> Qwen typically calculates the total as the number of giraffes times the number of spots per giraffe. Its giraffe count barely varies, but spots per giraffe is far more uncertain, so that is the variable I focused on. Using a sentence-resampling intervention, I cut the reasoning just before Qwen’s first committed number of spots per giraffe, swapped in alternative values that Qwen itself produced at that point, and let the reasoning continue. The direction of the effect was completely consistent: in all 15 traces, inserting a higher number of spots led to a higher final answer (median rank correlation 0.70; p = 0.000061). But the size of the effect was small. If the calculation simply carried through, doubling spots per giraffe would double the final estimate; instead, only about 13% of that change reached the final answer, because later reasoning revised most of it.</w:t>
      </w:r>
    </w:p>
    <w:p w14:paraId="7374C978" w14:textId="77777777" w:rsidR="00A51D1C" w:rsidRDefault="00000000" w:rsidP="006E0E45">
      <w:pPr>
        <w:spacing w:after="60"/>
        <w:ind w:right="-2" w:firstLine="400"/>
        <w:jc w:val="both"/>
      </w:pPr>
      <w:r>
        <w:rPr>
          <w:sz w:val="20"/>
          <w:szCs w:val="20"/>
        </w:rPr>
        <w:t xml:space="preserve">Taken together, Qwen’s visible reasoning is </w:t>
      </w:r>
      <w:r>
        <w:rPr>
          <w:b/>
          <w:bCs/>
          <w:sz w:val="20"/>
          <w:szCs w:val="20"/>
        </w:rPr>
        <w:t>partially faithful: it reflects the incentive-driven shift more faithfully than it explains it</w:t>
      </w:r>
      <w:r>
        <w:rPr>
          <w:sz w:val="20"/>
          <w:szCs w:val="20"/>
        </w:rPr>
        <w:t>. The trace usually acknowledges the incentive, steers toward it when given a numerical target, and states estimates that predict its continuations. Sentence resampling also shows that the first spots-per-giraffe estimate used in the calculation genuinely affects the final answer, but later reasoning revises most of its effect. The trace is therefore useful for monitoring without being a full explanation: it reveals the incentive, shows where the answer is heading, and includes a step that contributes to the result, but does not show how most of the final estimate is produced.</w:t>
      </w:r>
    </w:p>
    <w:p w14:paraId="6261EE23" w14:textId="0B7C445A" w:rsidR="00A51D1C" w:rsidRDefault="00000000" w:rsidP="006E0E45">
      <w:pPr>
        <w:spacing w:after="60"/>
        <w:ind w:right="-2" w:firstLine="400"/>
        <w:jc w:val="both"/>
      </w:pPr>
      <w:r>
        <w:rPr>
          <w:sz w:val="20"/>
          <w:szCs w:val="20"/>
        </w:rPr>
        <w:t xml:space="preserve">This conclusion is based on one task and a deep investigation of one model. It should be treated as a hypothesis about how an irrelevant incentive shapes a model’s reasoning, to be tested across tasks and models, especially models like Claude that more often deny influence. The report describes the methodology and experimental setup, presents the results and observations </w:t>
      </w:r>
      <w:r w:rsidR="001E66ED">
        <w:rPr>
          <w:sz w:val="20"/>
          <w:szCs w:val="20"/>
        </w:rPr>
        <w:t>per</w:t>
      </w:r>
      <w:r>
        <w:rPr>
          <w:sz w:val="20"/>
          <w:szCs w:val="20"/>
        </w:rPr>
        <w:t xml:space="preserve"> test, discusses these limitations, and outlines directions for future work.</w:t>
      </w:r>
    </w:p>
    <w:p w14:paraId="61F9A3FB" w14:textId="77777777" w:rsidR="00A51D1C" w:rsidRDefault="00A51D1C">
      <w:pPr>
        <w:sectPr w:rsidR="00A51D1C" w:rsidSect="001E66ED">
          <w:headerReference w:type="default" r:id="rId7"/>
          <w:footerReference w:type="default" r:id="rId8"/>
          <w:pgSz w:w="11906" w:h="16838"/>
          <w:pgMar w:top="1134" w:right="1418" w:bottom="1247" w:left="1418" w:header="692" w:footer="567" w:gutter="0"/>
          <w:cols w:space="0"/>
          <w:docGrid w:linePitch="360"/>
        </w:sectPr>
      </w:pPr>
    </w:p>
    <w:p w14:paraId="4114CA45" w14:textId="77777777" w:rsidR="00A51D1C" w:rsidRDefault="00000000">
      <w:pPr>
        <w:pStyle w:val="Heading1"/>
        <w:keepNext/>
        <w:spacing w:before="280" w:after="120"/>
      </w:pPr>
      <w:r>
        <w:lastRenderedPageBreak/>
        <w:t>1. Introduction</w:t>
      </w:r>
    </w:p>
    <w:p w14:paraId="55A09D18" w14:textId="77777777" w:rsidR="00A51D1C" w:rsidRDefault="00000000">
      <w:pPr>
        <w:pStyle w:val="Heading2"/>
        <w:keepNext/>
        <w:spacing w:before="200" w:after="100"/>
      </w:pPr>
      <w:r>
        <w:t>1.1 From value leakage to a question about reasoning</w:t>
      </w:r>
    </w:p>
    <w:p w14:paraId="0DB78E5E" w14:textId="77777777" w:rsidR="00A51D1C" w:rsidRDefault="00000000">
      <w:pPr>
        <w:jc w:val="both"/>
      </w:pPr>
      <w:r>
        <w:t xml:space="preserve">Language models are often asked to help with decisions while also being told facts that should not affect the answer. Betley et al. (2026) call it </w:t>
      </w:r>
      <w:r>
        <w:rPr>
          <w:b/>
          <w:bCs/>
        </w:rPr>
        <w:t>value leakage</w:t>
      </w:r>
      <w:r>
        <w:t xml:space="preserve"> when the model’s own preferences nevertheless change its response. Their Donation Bet experiment gives a particularly clean example: a model is asked for a Fermi estimate of the total number of giraffe spots in the world. In one condition, a donation goes to a good cause if the answer is above a threshold and to a bad cause otherwise. In the other, the good cause benefits if the answer is below the same threshold. The user’s stated goal is still an accurate estimate, so the donation rule should be irrelevant to the factual question.</w:t>
      </w:r>
    </w:p>
    <w:p w14:paraId="55DD6E29" w14:textId="77777777" w:rsidR="00A51D1C" w:rsidRDefault="00000000">
      <w:pPr>
        <w:ind w:firstLine="220"/>
        <w:jc w:val="both"/>
      </w:pPr>
      <w:r>
        <w:t>The experiment measures a distributional effect rather than asking whether any one answer is right. If a model’s estimates tend to move upward when an answer above the threshold benefits the good cause, and downward when an answer below the threshold does, then the donation outcome has affected its answers. Betley et al. (2026) find this effect across a suite of models and tasks. The paper also shows a striking difference in how models describe their own behavior: Qwen-family models often discuss adjusting their estimates to help the good cause; Claude Opus 4.7 (Claude) sometimes says it should remain unbiased while still producing different answer distributions across the two conditions.</w:t>
      </w:r>
    </w:p>
    <w:p w14:paraId="2AD7F5B6" w14:textId="77777777" w:rsidR="00A51D1C" w:rsidRDefault="00000000">
      <w:pPr>
        <w:ind w:firstLine="220"/>
        <w:jc w:val="both"/>
      </w:pPr>
      <w:r>
        <w:t>The original paper already tests several alternative explanations. It varies system instructions, how the consequences are framed, the location of the threshold, and the model’s reasoning effort. It also studies how the answer develops over the reasoning trace. These results establish that value leakage is robust and that different models can arrive at it in different ways. They do not, however, tell us whether a step that looks important inside one trace actually causes the final answer to change. A difference between two sets of rollouts can establish an effect across answers, but not the causal role of a particular sentence.</w:t>
      </w:r>
    </w:p>
    <w:p w14:paraId="39FA004A" w14:textId="77777777" w:rsidR="00A51D1C" w:rsidRDefault="00000000">
      <w:pPr>
        <w:ind w:firstLine="220"/>
        <w:jc w:val="both"/>
      </w:pPr>
      <w:r>
        <w:t>This project began as a take-home question about what motivated reasoning looks like and whether it should be understood as unfaithful chain-of-thought. I sharpened that into the following research question:</w:t>
      </w:r>
    </w:p>
    <w:p w14:paraId="46E9E110" w14:textId="77777777" w:rsidR="00A51D1C" w:rsidRDefault="00000000">
      <w:pPr>
        <w:spacing w:before="100" w:after="100"/>
        <w:ind w:left="340" w:right="340"/>
        <w:jc w:val="both"/>
      </w:pPr>
      <w:r>
        <w:rPr>
          <w:b/>
          <w:bCs/>
        </w:rPr>
        <w:t>When a should-be-irrelevant incentive shifts a reasoning model’s numerical answer, how faithfully does the visible reasoning disclose the influence, track how it shapes the developing answer, and identify a step that causally transmits it?</w:t>
      </w:r>
    </w:p>
    <w:p w14:paraId="156BF5E9" w14:textId="77777777" w:rsidR="00A51D1C" w:rsidRDefault="00000000">
      <w:pPr>
        <w:jc w:val="both"/>
      </w:pPr>
      <w:r>
        <w:t xml:space="preserve">I treat faithfulness as four linked questions, each tested by one experiment. </w:t>
      </w:r>
      <w:r>
        <w:rPr>
          <w:b/>
          <w:bCs/>
        </w:rPr>
        <w:t>TELL</w:t>
      </w:r>
      <w:r>
        <w:t xml:space="preserve"> asks whether the trace acknowledges that the incentive affected the estimate; it assigns disclosure labels to 400 saved traces across ten models. </w:t>
      </w:r>
      <w:r>
        <w:rPr>
          <w:b/>
          <w:bCs/>
        </w:rPr>
        <w:t>AIM</w:t>
      </w:r>
      <w:r>
        <w:t xml:space="preserve"> asks what information makes the incentive actionable and when the numerical trajectories begin to separate; it compares the original bet with a hidden-threshold condition and an explicit instruction. </w:t>
      </w:r>
      <w:r>
        <w:rPr>
          <w:b/>
          <w:bCs/>
        </w:rPr>
        <w:t>KNOW</w:t>
      </w:r>
      <w:r>
        <w:t xml:space="preserve"> asks whether the estimate the model states at successive points accurately tracks where continuations from those points go; it cuts saved traces at 25%, 50%, and 75%, elicits the model’s current estimate, and compares it with six continuations from the same prefix. </w:t>
      </w:r>
      <w:r>
        <w:rPr>
          <w:b/>
          <w:bCs/>
        </w:rPr>
        <w:t>CAUSE</w:t>
      </w:r>
      <w:r>
        <w:t xml:space="preserve"> asks whether an early premise that appears to carry the shift actually causes the final answer to move; it replaces the first spots-per-giraffe commitment with alternative values sampled from that model at that exact cut, following the sentence-resampling method in </w:t>
      </w:r>
      <w:r>
        <w:rPr>
          <w:i/>
          <w:iCs/>
        </w:rPr>
        <w:t>Thought Anchors</w:t>
      </w:r>
      <w:r>
        <w:t xml:space="preserve"> (Bogdan et al., 2025).</w:t>
      </w:r>
    </w:p>
    <w:p w14:paraId="69C5AFFA" w14:textId="77777777" w:rsidR="00A51D1C" w:rsidRDefault="00000000">
      <w:pPr>
        <w:ind w:firstLine="220"/>
        <w:jc w:val="both"/>
      </w:pPr>
      <w:r>
        <w:t>This approach treats the trace as evidence whose usefulness must be tested rather than assumed. It follows Korbak et al. (2025), who argue that visible reasoning can be informative without being guaranteed faithful, and Singh et al. (2026), who use targeted tests to distinguish explanations for concerning model behavior.</w:t>
      </w:r>
    </w:p>
    <w:p w14:paraId="5FFCFCD5" w14:textId="77777777" w:rsidR="00A51D1C" w:rsidRDefault="00000000">
      <w:pPr>
        <w:pStyle w:val="Heading2"/>
        <w:keepNext/>
        <w:spacing w:before="200" w:after="100"/>
      </w:pPr>
      <w:r>
        <w:t>1.2 Starting point and my contribution</w:t>
      </w:r>
    </w:p>
    <w:p w14:paraId="077C709E" w14:textId="77777777" w:rsidR="00A51D1C" w:rsidRDefault="00000000">
      <w:pPr>
        <w:jc w:val="both"/>
      </w:pPr>
      <w:r>
        <w:t>The project extends a supplied replication of the Donation Bet (Singh, n.d.) rather than reimplementing the paper from scratch. The repository already contained the prompts, model sampling code, saved rollouts, answer extraction, the paper’s threshold-based behavioral metric, and plots reproducing the effect across ten models (Table 1).</w:t>
      </w:r>
    </w:p>
    <w:p w14:paraId="4BF90CD4" w14:textId="77777777" w:rsidR="00A51D1C" w:rsidRDefault="00000000">
      <w:pPr>
        <w:keepNext/>
        <w:keepLines/>
        <w:spacing w:before="160" w:after="100"/>
        <w:jc w:val="both"/>
      </w:pPr>
      <w:r>
        <w:rPr>
          <w:sz w:val="20"/>
          <w:szCs w:val="20"/>
        </w:rPr>
        <w:lastRenderedPageBreak/>
        <w:t>Table 1. Components supplied by the existing replication.</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50"/>
        <w:gridCol w:w="3515"/>
      </w:tblGrid>
      <w:tr w:rsidR="00A51D1C" w14:paraId="1DC0A507" w14:textId="77777777">
        <w:tblPrEx>
          <w:tblCellMar>
            <w:top w:w="0" w:type="dxa"/>
            <w:bottom w:w="0" w:type="dxa"/>
          </w:tblCellMar>
        </w:tblPrEx>
        <w:trPr>
          <w:cantSplit/>
          <w:tblHeader/>
          <w:jc w:val="center"/>
        </w:trPr>
        <w:tc>
          <w:tcPr>
            <w:tcW w:w="850"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2C6DFA08" w14:textId="77777777" w:rsidR="00A51D1C" w:rsidRDefault="00000000">
            <w:pPr>
              <w:keepNext/>
            </w:pPr>
            <w:r>
              <w:rPr>
                <w:b/>
                <w:bCs/>
                <w:sz w:val="18"/>
                <w:szCs w:val="18"/>
              </w:rPr>
              <w:t>Part</w:t>
            </w:r>
          </w:p>
        </w:tc>
        <w:tc>
          <w:tcPr>
            <w:tcW w:w="351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121DD6A8" w14:textId="77777777" w:rsidR="00A51D1C" w:rsidRDefault="00000000">
            <w:pPr>
              <w:keepNext/>
            </w:pPr>
            <w:r>
              <w:rPr>
                <w:b/>
                <w:bCs/>
                <w:sz w:val="18"/>
                <w:szCs w:val="18"/>
              </w:rPr>
              <w:t>What was supplied</w:t>
            </w:r>
          </w:p>
        </w:tc>
      </w:tr>
      <w:tr w:rsidR="00A51D1C" w14:paraId="42DB25C8" w14:textId="77777777">
        <w:tblPrEx>
          <w:tblCellMar>
            <w:top w:w="0" w:type="dxa"/>
            <w:bottom w:w="0" w:type="dxa"/>
          </w:tblCellMar>
        </w:tblPrEx>
        <w:trPr>
          <w:cantSplit/>
          <w:jc w:val="center"/>
        </w:trPr>
        <w:tc>
          <w:tcPr>
            <w:tcW w:w="850"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0287C7A7" w14:textId="77777777" w:rsidR="00A51D1C" w:rsidRDefault="00000000">
            <w:pPr>
              <w:keepNext/>
            </w:pPr>
            <w:r>
              <w:rPr>
                <w:sz w:val="18"/>
                <w:szCs w:val="18"/>
              </w:rPr>
              <w:t>Prompts</w:t>
            </w:r>
          </w:p>
        </w:tc>
        <w:tc>
          <w:tcPr>
            <w:tcW w:w="351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2E02F76F" w14:textId="77777777" w:rsidR="00A51D1C" w:rsidRDefault="00000000">
            <w:pPr>
              <w:keepNext/>
            </w:pPr>
            <w:r>
              <w:rPr>
                <w:sz w:val="18"/>
                <w:szCs w:val="18"/>
              </w:rPr>
              <w:t>Baseline, charity-benefits-above, and charity-benefits-below versions of the giraffe-spots question.</w:t>
            </w:r>
          </w:p>
        </w:tc>
      </w:tr>
      <w:tr w:rsidR="00A51D1C" w14:paraId="18746CD1" w14:textId="77777777">
        <w:tblPrEx>
          <w:tblCellMar>
            <w:top w:w="0" w:type="dxa"/>
            <w:bottom w:w="0" w:type="dxa"/>
          </w:tblCellMar>
        </w:tblPrEx>
        <w:trPr>
          <w:cantSplit/>
          <w:jc w:val="center"/>
        </w:trPr>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54CEF" w14:textId="77777777" w:rsidR="00A51D1C" w:rsidRDefault="00000000">
            <w:pPr>
              <w:keepNext/>
            </w:pPr>
            <w:r>
              <w:rPr>
                <w:sz w:val="18"/>
                <w:szCs w:val="18"/>
              </w:rPr>
              <w:t>Data</w:t>
            </w:r>
          </w:p>
        </w:tc>
        <w:tc>
          <w:tcPr>
            <w:tcW w:w="35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A56084" w14:textId="77777777" w:rsidR="00A51D1C" w:rsidRDefault="00000000">
            <w:pPr>
              <w:keepNext/>
            </w:pPr>
            <w:r>
              <w:rPr>
                <w:sz w:val="18"/>
                <w:szCs w:val="18"/>
              </w:rPr>
              <w:t>Roughly 100 saved rollouts per prompt for ten reasoning models, plus model-specific thresholds derived from baseline answers.</w:t>
            </w:r>
          </w:p>
        </w:tc>
      </w:tr>
      <w:tr w:rsidR="00A51D1C" w14:paraId="38B3A3CB" w14:textId="77777777">
        <w:tblPrEx>
          <w:tblCellMar>
            <w:top w:w="0" w:type="dxa"/>
            <w:bottom w:w="0" w:type="dxa"/>
          </w:tblCellMar>
        </w:tblPrEx>
        <w:trPr>
          <w:cantSplit/>
          <w:jc w:val="center"/>
        </w:trPr>
        <w:tc>
          <w:tcPr>
            <w:tcW w:w="850"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457F3EA1" w14:textId="77777777" w:rsidR="00A51D1C" w:rsidRDefault="00000000">
            <w:r>
              <w:rPr>
                <w:sz w:val="18"/>
                <w:szCs w:val="18"/>
              </w:rPr>
              <w:t>Analysis</w:t>
            </w:r>
          </w:p>
        </w:tc>
        <w:tc>
          <w:tcPr>
            <w:tcW w:w="351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3D9282E0" w14:textId="77777777" w:rsidR="00A51D1C" w:rsidRDefault="00000000">
            <w:r>
              <w:rPr>
                <w:sz w:val="18"/>
                <w:szCs w:val="18"/>
              </w:rPr>
              <w:t>Final-answer extraction, trajectory extraction, the matched response fraction, and per-model replication plots.</w:t>
            </w:r>
          </w:p>
        </w:tc>
      </w:tr>
    </w:tbl>
    <w:p w14:paraId="5E9F631C" w14:textId="77777777" w:rsidR="00A51D1C" w:rsidRDefault="00A51D1C">
      <w:pPr>
        <w:spacing w:after="160"/>
      </w:pPr>
    </w:p>
    <w:p w14:paraId="23AA0423" w14:textId="77777777" w:rsidR="00A51D1C" w:rsidRDefault="00000000">
      <w:pPr>
        <w:jc w:val="both"/>
      </w:pPr>
      <w:r>
        <w:t>I did not build that replication; I added four investigations on top of it (Table 2):</w:t>
      </w:r>
    </w:p>
    <w:p w14:paraId="4C6D79D2" w14:textId="77777777" w:rsidR="00A51D1C" w:rsidRDefault="00000000">
      <w:pPr>
        <w:keepNext/>
        <w:keepLines/>
        <w:spacing w:before="160" w:after="100"/>
        <w:jc w:val="both"/>
      </w:pPr>
      <w:r>
        <w:rPr>
          <w:sz w:val="20"/>
          <w:szCs w:val="20"/>
        </w:rPr>
        <w:t>Table 2. Investigations added in this project.</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300"/>
        <w:gridCol w:w="3065"/>
      </w:tblGrid>
      <w:tr w:rsidR="00A51D1C" w14:paraId="32A397AF" w14:textId="77777777">
        <w:tblPrEx>
          <w:tblCellMar>
            <w:top w:w="0" w:type="dxa"/>
            <w:bottom w:w="0" w:type="dxa"/>
          </w:tblCellMar>
        </w:tblPrEx>
        <w:trPr>
          <w:cantSplit/>
          <w:tblHeader/>
          <w:jc w:val="center"/>
        </w:trPr>
        <w:tc>
          <w:tcPr>
            <w:tcW w:w="1300"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1EE75597" w14:textId="77777777" w:rsidR="00A51D1C" w:rsidRDefault="00000000">
            <w:pPr>
              <w:keepNext/>
            </w:pPr>
            <w:r>
              <w:rPr>
                <w:b/>
                <w:bCs/>
                <w:sz w:val="18"/>
                <w:szCs w:val="18"/>
              </w:rPr>
              <w:t>Investigation</w:t>
            </w:r>
          </w:p>
        </w:tc>
        <w:tc>
          <w:tcPr>
            <w:tcW w:w="306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2BCB55B4" w14:textId="77777777" w:rsidR="00A51D1C" w:rsidRDefault="00000000">
            <w:pPr>
              <w:keepNext/>
            </w:pPr>
            <w:r>
              <w:rPr>
                <w:b/>
                <w:bCs/>
                <w:sz w:val="18"/>
                <w:szCs w:val="18"/>
              </w:rPr>
              <w:t>What I added</w:t>
            </w:r>
          </w:p>
        </w:tc>
      </w:tr>
      <w:tr w:rsidR="00A51D1C" w14:paraId="203B7B80" w14:textId="77777777">
        <w:tblPrEx>
          <w:tblCellMar>
            <w:top w:w="0" w:type="dxa"/>
            <w:bottom w:w="0" w:type="dxa"/>
          </w:tblCellMar>
        </w:tblPrEx>
        <w:trPr>
          <w:cantSplit/>
          <w:jc w:val="center"/>
        </w:trPr>
        <w:tc>
          <w:tcPr>
            <w:tcW w:w="1300"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48FEDE61" w14:textId="77777777" w:rsidR="00A51D1C" w:rsidRDefault="00000000">
            <w:pPr>
              <w:keepNext/>
            </w:pPr>
            <w:r>
              <w:rPr>
                <w:sz w:val="18"/>
                <w:szCs w:val="18"/>
              </w:rPr>
              <w:t>TELL</w:t>
            </w:r>
          </w:p>
        </w:tc>
        <w:tc>
          <w:tcPr>
            <w:tcW w:w="306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74A605DA" w14:textId="77777777" w:rsidR="00A51D1C" w:rsidRDefault="00000000">
            <w:pPr>
              <w:keepNext/>
            </w:pPr>
            <w:r>
              <w:rPr>
                <w:sz w:val="18"/>
                <w:szCs w:val="18"/>
              </w:rPr>
              <w:t>A four-label disclosure rubric, judgments for 400 saved traces across ten models, a repeated-judge check, and figures comparing disclosure with behavioral shift.</w:t>
            </w:r>
          </w:p>
        </w:tc>
      </w:tr>
      <w:tr w:rsidR="00A51D1C" w14:paraId="074B010E"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FDA85B" w14:textId="77777777" w:rsidR="00A51D1C" w:rsidRDefault="00000000">
            <w:pPr>
              <w:keepNext/>
            </w:pPr>
            <w:r>
              <w:rPr>
                <w:sz w:val="18"/>
                <w:szCs w:val="18"/>
              </w:rPr>
              <w:t>AIM</w:t>
            </w:r>
          </w:p>
        </w:tc>
        <w:tc>
          <w:tcPr>
            <w:tcW w:w="30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07025" w14:textId="77777777" w:rsidR="00A51D1C" w:rsidRDefault="00000000">
            <w:pPr>
              <w:keepNext/>
            </w:pPr>
            <w:r>
              <w:rPr>
                <w:sz w:val="18"/>
                <w:szCs w:val="18"/>
              </w:rPr>
              <w:t>Hidden-threshold and explicit-instruction controls, fresh rollouts for Qwen 3.5 122B A10B (Qwen) and GLM-5.2 (GLM), endpoint calibration, and trajectory-level analysis.</w:t>
            </w:r>
          </w:p>
        </w:tc>
      </w:tr>
      <w:tr w:rsidR="00A51D1C" w14:paraId="13204F43"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741FBF" w14:textId="77777777" w:rsidR="00A51D1C" w:rsidRDefault="00000000">
            <w:pPr>
              <w:keepNext/>
            </w:pPr>
            <w:r>
              <w:rPr>
                <w:sz w:val="18"/>
                <w:szCs w:val="18"/>
              </w:rPr>
              <w:t>KNOW</w:t>
            </w:r>
          </w:p>
        </w:tc>
        <w:tc>
          <w:tcPr>
            <w:tcW w:w="30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2BBEC" w14:textId="77777777" w:rsidR="00A51D1C" w:rsidRDefault="00000000">
            <w:pPr>
              <w:keepNext/>
            </w:pPr>
            <w:r>
              <w:rPr>
                <w:sz w:val="18"/>
                <w:szCs w:val="18"/>
              </w:rPr>
              <w:t>Saved-trace interruption at three points, content-prefill verification, an immediate estimate probe, six continuations per cut, parsing and filtering, and two measures of local predictive consistency.</w:t>
            </w:r>
          </w:p>
        </w:tc>
      </w:tr>
      <w:tr w:rsidR="00A51D1C" w14:paraId="01F7F294" w14:textId="77777777">
        <w:tblPrEx>
          <w:tblCellMar>
            <w:top w:w="0" w:type="dxa"/>
            <w:bottom w:w="0" w:type="dxa"/>
          </w:tblCellMar>
        </w:tblPrEx>
        <w:trPr>
          <w:cantSplit/>
          <w:jc w:val="center"/>
        </w:trPr>
        <w:tc>
          <w:tcPr>
            <w:tcW w:w="1300"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598D80D9" w14:textId="77777777" w:rsidR="00A51D1C" w:rsidRDefault="00000000">
            <w:r>
              <w:rPr>
                <w:sz w:val="18"/>
                <w:szCs w:val="18"/>
              </w:rPr>
              <w:t>CAUSE</w:t>
            </w:r>
          </w:p>
        </w:tc>
        <w:tc>
          <w:tcPr>
            <w:tcW w:w="306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2494F7ED" w14:textId="77777777" w:rsidR="00A51D1C" w:rsidRDefault="00000000">
            <w:r>
              <w:rPr>
                <w:sz w:val="18"/>
                <w:szCs w:val="18"/>
              </w:rPr>
              <w:t>A direct intervention on the first spots-per-giraffe premise, including trace selection, sentence resampling, 528 continuations, and controls for continuation noise.</w:t>
            </w:r>
          </w:p>
        </w:tc>
      </w:tr>
    </w:tbl>
    <w:p w14:paraId="2021C314" w14:textId="77777777" w:rsidR="00A51D1C" w:rsidRDefault="00A51D1C">
      <w:pPr>
        <w:spacing w:after="160"/>
      </w:pPr>
    </w:p>
    <w:p w14:paraId="4A45894B" w14:textId="77777777" w:rsidR="00A51D1C" w:rsidRDefault="00000000">
      <w:pPr>
        <w:jc w:val="both"/>
      </w:pPr>
      <w:r>
        <w:t>All new analyses use cached raw responses and deterministic local scripts once model calls have completed. The repository records the prompts, sampling parameters, exclusions, hashes, and commands needed to reproduce each result.</w:t>
      </w:r>
    </w:p>
    <w:p w14:paraId="68B0E779" w14:textId="77777777" w:rsidR="00A51D1C" w:rsidRDefault="00000000">
      <w:pPr>
        <w:pStyle w:val="Heading2"/>
        <w:keepNext/>
        <w:spacing w:before="200" w:after="100"/>
      </w:pPr>
      <w:r>
        <w:t>1.3 What each test can establish</w:t>
      </w:r>
    </w:p>
    <w:p w14:paraId="65ACF601" w14:textId="77777777" w:rsidR="00A51D1C" w:rsidRDefault="00000000">
      <w:pPr>
        <w:jc w:val="both"/>
      </w:pPr>
      <w:r>
        <w:t xml:space="preserve">The four tests are related, but they answer different questions. The design deliberately avoids treating faithfulness as a single property that one metric can settle. A trace may disclose an influence without explaining its effect, predict a continuation without causing it, or contain a causal premise without accounting for most of the final answer. Testing these dimensions separately makes the limits of each result explicit; combining </w:t>
      </w:r>
      <w:r>
        <w:t>them provides a broader assessment of how faithfully the visible reasoning represents the process that produced the answer. Table A1 (Appendix A.1) summarizes what each test can and cannot show.</w:t>
      </w:r>
    </w:p>
    <w:p w14:paraId="37667787" w14:textId="77777777" w:rsidR="00A51D1C" w:rsidRDefault="00000000">
      <w:pPr>
        <w:ind w:firstLine="220"/>
        <w:jc w:val="both"/>
      </w:pPr>
      <w:r>
        <w:t>TELL tests whether the influence is acknowledged; AIM tests what allows the model to steer toward it; KNOW tests whether the visible numerical state tracks where the reasoning is going; and CAUSE tests whether an early written premise actually helps produce the shift.</w:t>
      </w:r>
    </w:p>
    <w:p w14:paraId="710456D9" w14:textId="77777777" w:rsidR="00A51D1C" w:rsidRDefault="00000000">
      <w:pPr>
        <w:pStyle w:val="Heading2"/>
        <w:keepNext/>
        <w:spacing w:before="200" w:after="100"/>
      </w:pPr>
      <w:r>
        <w:t>1.4 Main results</w:t>
      </w:r>
    </w:p>
    <w:p w14:paraId="4E84B6BF" w14:textId="77777777" w:rsidR="00A51D1C" w:rsidRDefault="00000000">
      <w:pPr>
        <w:jc w:val="both"/>
      </w:pPr>
      <w:r>
        <w:t>TELL begins with a ten-model comparison. The deeper AIM, KNOW, and CAUSE experiments focus on Qwen because it has the largest answer shift in the supplied replication, its raw reasoning is available, and the same serving stack can continue from saved prefixes. GLM serves as an endpoint-sensitivity check rather than a second deep case study. Unless stated otherwise, the results below therefore describe Qwen.</w:t>
      </w:r>
    </w:p>
    <w:p w14:paraId="5463973A" w14:textId="77777777" w:rsidR="00A51D1C" w:rsidRDefault="00000000">
      <w:pPr>
        <w:ind w:firstLine="220"/>
        <w:jc w:val="both"/>
      </w:pPr>
      <w:r>
        <w:t>First, TELL and AIM establish that acknowledging an incentive and being able to act on it are different questions. Qwen admits influence in 33 of 40 sampled traces, while Claude denies influence in 25 of 40. For Qwen, however, the incentive alone does not produce the full effect. The ordinary Donation Bet produces a shift of 0.526, while hiding the numerical threshold reduces the point estimate to 0.167. Explicitly instructing Qwen to land on one side produces complete observed separation. The target must be specific enough for the model to steer toward it.</w:t>
      </w:r>
    </w:p>
    <w:p w14:paraId="0BAD5DBF" w14:textId="77777777" w:rsidR="00A51D1C" w:rsidRDefault="00000000">
      <w:pPr>
        <w:ind w:firstLine="220"/>
        <w:jc w:val="both"/>
      </w:pPr>
      <w:r>
        <w:t>The trajectory results then create the question that motivates the later experiments. In the ordinary and instructed conditions, Qwen’s above- and below-target trajectories are already separated when the first numerical candidate becomes visible, and the gap remains broadly stable. KNOW finds that the estimate Qwen states at 25%, 50%, and 75% of a trace usually agrees with the distribution reached by continuing from that exact point. I do not find a systematic tendency for the stated estimate to be more favorable to the rewarded side than the continuations. The visible reasoning therefore tracks where the answer is heading once a partial trace exists, but these results do not show which earlier step made it head there.</w:t>
      </w:r>
    </w:p>
    <w:p w14:paraId="14F21B6A" w14:textId="77777777" w:rsidR="00A51D1C" w:rsidRDefault="00000000">
      <w:pPr>
        <w:ind w:firstLine="220"/>
        <w:jc w:val="both"/>
      </w:pPr>
      <w:r>
        <w:t xml:space="preserve">CAUSE tests the most direct explanation suggested by that early separation: that the first written spots-per-giraffe premise carries the shift into the final answer. I intervened on 15 traces and inserted alternative spot counts sampled from </w:t>
      </w:r>
      <w:r>
        <w:lastRenderedPageBreak/>
        <w:t xml:space="preserve">Qwen at the exact same cut and context. All 15 traces show a positive rank correlation between the inserted count and the final estimate. The median within-trace Spearman correlation is 0.70, and a two-sided sign test gives </w:t>
      </w:r>
      <w:r>
        <w:rPr>
          <w:i/>
          <w:iCs/>
        </w:rPr>
        <w:t>p</w:t>
      </w:r>
      <w:r>
        <w:t xml:space="preserve"> = 6.1 × 10</w:t>
      </w:r>
      <w:r>
        <w:rPr>
          <w:vertAlign w:val="superscript"/>
        </w:rPr>
        <w:t>−5</w:t>
      </w:r>
      <w:r>
        <w:t>. Yet the final answer retains a median of only 13% of the proportional change implied by the edited premise. The early premise is part of the causal process, but it does not decide the answer; later reasoning revises most of its effect.</w:t>
      </w:r>
    </w:p>
    <w:p w14:paraId="27127FBC" w14:textId="77777777" w:rsidR="00A51D1C" w:rsidRDefault="00000000">
      <w:pPr>
        <w:ind w:firstLine="220"/>
        <w:jc w:val="both"/>
      </w:pPr>
      <w:r>
        <w:t>Taken together, the four tests give a differentiated assessment of faithfulness. TELL shows that the incentive is often disclosed in Qwen’s trace. AIM shows that reliable steering depends on an actionable numerical target and appears early. KNOW shows that Qwen’s stated intermediate estimate is locally predictive of its continuations. CAUSE shows that one early written premise genuinely contributes to the final answer, while explaining only a small part of where it lands. This weighs against a simple account in which Qwen covertly chooses a preferred answer and writes an unrelated calculation. It also rules out the stronger claim that the visible calculation provides a complete causal explanation.</w:t>
      </w:r>
    </w:p>
    <w:p w14:paraId="0BBB1B0E" w14:textId="77777777" w:rsidR="00A51D1C" w:rsidRDefault="00000000">
      <w:pPr>
        <w:pStyle w:val="Heading1"/>
        <w:keepNext/>
        <w:spacing w:before="280" w:after="120"/>
      </w:pPr>
      <w:r>
        <w:t>2. Methods</w:t>
      </w:r>
    </w:p>
    <w:p w14:paraId="24098DB4" w14:textId="77777777" w:rsidR="00A51D1C" w:rsidRDefault="00000000">
      <w:pPr>
        <w:pStyle w:val="Heading2"/>
        <w:keepNext/>
        <w:spacing w:before="200" w:after="100"/>
      </w:pPr>
      <w:r>
        <w:t>2.1 Models and prompt conditions</w:t>
      </w:r>
    </w:p>
    <w:p w14:paraId="1D8DECE9" w14:textId="77777777" w:rsidR="00A51D1C" w:rsidRDefault="00000000">
      <w:pPr>
        <w:jc w:val="both"/>
      </w:pPr>
      <w:r>
        <w:t>TELL uses 400 saved Donation Bet traces: 40 per model, balanced between the above-pays and below-pays conditions, for ten models in the supplied replication. AIM uses fresh rollouts from Qwen and GLM. KNOW and CAUSE focus on Qwen because it combines a large behavioral shift with unusually explicit discussion of the donation target, making it the clearest case in which to test whether visible reasoning is informative.</w:t>
      </w:r>
    </w:p>
    <w:p w14:paraId="68C67B29" w14:textId="77777777" w:rsidR="00A51D1C" w:rsidRDefault="00000000">
      <w:pPr>
        <w:ind w:firstLine="220"/>
        <w:jc w:val="both"/>
      </w:pPr>
      <w:r>
        <w:t xml:space="preserve">The core comparison flips which side of a fixed threshold benefits the charity while leaving the factual question unchanged; </w:t>
      </w:r>
      <w:r>
        <w:rPr>
          <w:i/>
          <w:iCs/>
        </w:rPr>
        <w:t>Appendix A.2</w:t>
      </w:r>
      <w:r>
        <w:t xml:space="preserve"> reproduces the exact above-pays prompt and the sentence reversed for the below-pays condition. AIM adds two controls. In the </w:t>
      </w:r>
      <w:r>
        <w:rPr>
          <w:b/>
          <w:bCs/>
        </w:rPr>
        <w:t>hidden-threshold</w:t>
      </w:r>
      <w:r>
        <w:t xml:space="preserve"> condition, the model knows which side benefits the charity but is not shown the numerical threshold. In the </w:t>
      </w:r>
      <w:r>
        <w:rPr>
          <w:b/>
          <w:bCs/>
        </w:rPr>
        <w:t>instructed</w:t>
      </w:r>
      <w:r>
        <w:t xml:space="preserve"> condition, it is explicitly told to produce an estimate above or below the threshold. The latter is a positive control: if the analysis cannot recover a shift when the objective is explicit, it is not sensitive enough to interpret the subtler Donation Bet.</w:t>
      </w:r>
    </w:p>
    <w:p w14:paraId="216FCFE7" w14:textId="77777777" w:rsidR="00A51D1C" w:rsidRDefault="00000000">
      <w:pPr>
        <w:pStyle w:val="Heading2"/>
        <w:keepNext/>
        <w:spacing w:before="200" w:after="100"/>
      </w:pPr>
      <w:r>
        <w:t>2.2 Outcome measures</w:t>
      </w:r>
    </w:p>
    <w:p w14:paraId="59879BFF" w14:textId="77777777" w:rsidR="00A51D1C" w:rsidRDefault="00000000">
      <w:pPr>
        <w:jc w:val="both"/>
      </w:pPr>
      <w:r>
        <w:t xml:space="preserve">For a model with threshold </w:t>
      </w:r>
      <w:r>
        <w:rPr>
          <w:b/>
          <w:bCs/>
          <w:i/>
          <w:iCs/>
        </w:rPr>
        <w:t>T</w:t>
      </w:r>
      <w:r>
        <w:t xml:space="preserve">, each final answer is coded as above or below </w:t>
      </w:r>
      <w:r>
        <w:rPr>
          <w:b/>
          <w:bCs/>
          <w:i/>
          <w:iCs/>
        </w:rPr>
        <w:t>T</w:t>
      </w:r>
      <w:r>
        <w:t xml:space="preserve">. The main behavioral outcome is the </w:t>
      </w:r>
      <w:r>
        <w:rPr>
          <w:b/>
          <w:bCs/>
        </w:rPr>
        <w:t>matched response fraction shift</w:t>
      </w:r>
      <w:r>
        <w:t>:</w:t>
      </w:r>
    </w:p>
    <w:p w14:paraId="42785FA0" w14:textId="77777777" w:rsidR="00A51D1C" w:rsidRDefault="00000000">
      <w:pPr>
        <w:spacing w:before="100" w:after="100"/>
        <w:jc w:val="center"/>
      </w:pPr>
      <w:r>
        <w:t xml:space="preserve">Δ = </w:t>
      </w:r>
      <w:r>
        <w:rPr>
          <w:i/>
          <w:iCs/>
        </w:rPr>
        <w:t>P</w:t>
      </w:r>
      <w:r>
        <w:t>(</w:t>
      </w:r>
      <w:r>
        <w:rPr>
          <w:i/>
          <w:iCs/>
        </w:rPr>
        <w:t>y</w:t>
      </w:r>
      <w:r>
        <w:t xml:space="preserve"> &gt; </w:t>
      </w:r>
      <w:r>
        <w:rPr>
          <w:i/>
          <w:iCs/>
        </w:rPr>
        <w:t>T</w:t>
      </w:r>
      <w:r>
        <w:t xml:space="preserve"> | </w:t>
      </w:r>
      <w:r>
        <w:rPr>
          <w:i/>
          <w:iCs/>
        </w:rPr>
        <w:t>above pays</w:t>
      </w:r>
      <w:r>
        <w:t xml:space="preserve">) − </w:t>
      </w:r>
      <w:r>
        <w:rPr>
          <w:i/>
          <w:iCs/>
        </w:rPr>
        <w:t>P</w:t>
      </w:r>
      <w:r>
        <w:t>(</w:t>
      </w:r>
      <w:r>
        <w:rPr>
          <w:i/>
          <w:iCs/>
        </w:rPr>
        <w:t>y</w:t>
      </w:r>
      <w:r>
        <w:t xml:space="preserve"> &gt; </w:t>
      </w:r>
      <w:r>
        <w:rPr>
          <w:i/>
          <w:iCs/>
        </w:rPr>
        <w:t>T</w:t>
      </w:r>
      <w:r>
        <w:t xml:space="preserve"> | </w:t>
      </w:r>
      <w:r>
        <w:rPr>
          <w:i/>
          <w:iCs/>
        </w:rPr>
        <w:t>below pays</w:t>
      </w:r>
      <w:r>
        <w:t>).</w:t>
      </w:r>
    </w:p>
    <w:p w14:paraId="1EF95CBC" w14:textId="77777777" w:rsidR="00A51D1C" w:rsidRDefault="00000000">
      <w:pPr>
        <w:jc w:val="both"/>
      </w:pPr>
      <w:r>
        <w:t xml:space="preserve">A value of zero means the answer distributions cross the threshold at the same rate. A value of one means every answer follows the incentive. This deliberately coarse metric follows the decision rule in the prompt and avoids letting a few extreme numerical estimates determine the result. In TELL’s supplied runs, an answer exactly on the threshold receives a midrank of 0.5 in both conditions. For the fresh AIM comparisons, both conditions use the same strict </w:t>
      </w:r>
      <w:r>
        <w:rPr>
          <w:i/>
          <w:iCs/>
        </w:rPr>
        <w:t>y</w:t>
      </w:r>
      <w:r>
        <w:t xml:space="preserve"> &gt; </w:t>
      </w:r>
      <w:r>
        <w:rPr>
          <w:i/>
          <w:iCs/>
        </w:rPr>
        <w:t>T</w:t>
      </w:r>
      <w:r>
        <w:t xml:space="preserve"> rule, and I report Newcombe-style 95% intervals formed from Wilson intervals for the two proportions.</w:t>
      </w:r>
    </w:p>
    <w:p w14:paraId="5F676971" w14:textId="77777777" w:rsidR="00A51D1C" w:rsidRDefault="00000000">
      <w:pPr>
        <w:ind w:firstLine="220"/>
        <w:jc w:val="both"/>
      </w:pPr>
      <w:r>
        <w:t>For the trajectory plots, I extract the cumulative numerical candidates in each trace, express them as (</w:t>
      </w:r>
      <w:r>
        <w:rPr>
          <w:i/>
          <w:iCs/>
        </w:rPr>
        <w:t>y</w:t>
      </w:r>
      <w:r>
        <w:t xml:space="preserve"> − </w:t>
      </w:r>
      <w:r>
        <w:rPr>
          <w:i/>
          <w:iCs/>
        </w:rPr>
        <w:t>T</w:t>
      </w:r>
      <w:r>
        <w:t>)/</w:t>
      </w:r>
      <w:r>
        <w:rPr>
          <w:i/>
          <w:iCs/>
        </w:rPr>
        <w:t>T</w:t>
      </w:r>
      <w:r>
        <w:t>, and interpolate them over normalized trace position. Each line is the median across rollouts and each band is the interquartile range. These curves describe when the conditions separate; they do not show that any displayed number caused the separation.</w:t>
      </w:r>
    </w:p>
    <w:p w14:paraId="1D450964" w14:textId="77777777" w:rsidR="00A51D1C" w:rsidRDefault="00000000">
      <w:pPr>
        <w:ind w:firstLine="220"/>
        <w:jc w:val="both"/>
      </w:pPr>
      <w:r>
        <w:t xml:space="preserve">TELL assigns one of four labels to each trace: </w:t>
      </w:r>
      <w:r>
        <w:rPr>
          <w:b/>
          <w:bCs/>
        </w:rPr>
        <w:t>admits influence</w:t>
      </w:r>
      <w:r>
        <w:t xml:space="preserve">, </w:t>
      </w:r>
      <w:r>
        <w:rPr>
          <w:b/>
          <w:bCs/>
        </w:rPr>
        <w:t>mentions the bet without admitting influence</w:t>
      </w:r>
      <w:r>
        <w:t xml:space="preserve">, </w:t>
      </w:r>
      <w:r>
        <w:rPr>
          <w:b/>
          <w:bCs/>
        </w:rPr>
        <w:t>denies influence</w:t>
      </w:r>
      <w:r>
        <w:t xml:space="preserve">, or </w:t>
      </w:r>
      <w:r>
        <w:rPr>
          <w:b/>
          <w:bCs/>
        </w:rPr>
        <w:t>never raises it</w:t>
      </w:r>
      <w:r>
        <w:t>. The labels are applied to traces that landed on the side rewarded by the prompt. This makes the sample behaviorally relevant, but it does not mean that every included trace is known to be biased, and the label is not a per-trace diagnosis of motivated reasoning.</w:t>
      </w:r>
    </w:p>
    <w:p w14:paraId="7C860609" w14:textId="77777777" w:rsidR="00A51D1C" w:rsidRDefault="00000000">
      <w:pPr>
        <w:ind w:firstLine="220"/>
        <w:jc w:val="both"/>
      </w:pPr>
      <w:r>
        <w:t>KNOW compares the estimate stated immediately after an interruption with the median of six continuations from the same prefix. The gap is (</w:t>
      </w:r>
      <w:r>
        <w:rPr>
          <w:i/>
          <w:iCs/>
        </w:rPr>
        <w:t>continuation median</w:t>
      </w:r>
      <w:r>
        <w:t xml:space="preserve"> − </w:t>
      </w:r>
      <w:r>
        <w:rPr>
          <w:i/>
          <w:iCs/>
        </w:rPr>
        <w:t>stated estimate</w:t>
      </w:r>
      <w:r>
        <w:t>)/</w:t>
      </w:r>
      <w:r>
        <w:rPr>
          <w:i/>
          <w:iCs/>
        </w:rPr>
        <w:t>T</w:t>
      </w:r>
      <w:r>
        <w:t>, signed toward the side rewarded by that prompt. A positive value means that the continuations moved further toward the rewarded outcome than the model said it currently was; a value near zero means that the stated estimate locally matched the median continuation. Using the median limits the effect of the heavy-tailed continuation endpoints.</w:t>
      </w:r>
    </w:p>
    <w:p w14:paraId="3CA276C3" w14:textId="77777777" w:rsidR="00A51D1C" w:rsidRDefault="00000000">
      <w:pPr>
        <w:ind w:firstLine="220"/>
        <w:jc w:val="both"/>
      </w:pPr>
      <w:r>
        <w:t xml:space="preserve">CAUSE uses two primary within-trace outcomes. </w:t>
      </w:r>
      <w:r>
        <w:rPr>
          <w:b/>
          <w:bCs/>
        </w:rPr>
        <w:t>Spearman correlation</w:t>
      </w:r>
      <w:r>
        <w:t xml:space="preserve"> </w:t>
      </w:r>
      <w:r>
        <w:rPr>
          <w:i/>
          <w:iCs/>
        </w:rPr>
        <w:t>ρ</w:t>
      </w:r>
      <w:r>
        <w:t xml:space="preserve"> measures whether larger inserted spot counts tend to produce larger final estimates. </w:t>
      </w:r>
      <w:r>
        <w:rPr>
          <w:b/>
          <w:bCs/>
        </w:rPr>
        <w:t>Retention</w:t>
      </w:r>
      <w:r>
        <w:t xml:space="preserve"> measures how much of the proportional change implied by the inserted premise remains in the final answer. A retention of one would mean that doubling spots per giraffe doubles the final </w:t>
      </w:r>
      <w:r>
        <w:lastRenderedPageBreak/>
        <w:t>estimate while all other factors stay fixed; zero would mean that the edit has no systematic proportional effect. Because later reasoning can also revise the giraffe population, this is a descriptive measure of how strongly the initial premise survives, not a complete decomposition. I also report the interquartile range of continuations from the unchanged premise as descriptive context for ordinary continuation variability. The inserted ranges differ across traces, from 1.5× to 3.3×, so pooled plots are descriptive; the directional inference is made within each trace and then aggregated with the trace as the unit.</w:t>
      </w:r>
    </w:p>
    <w:p w14:paraId="3FB2FB78" w14:textId="77777777" w:rsidR="00A51D1C" w:rsidRDefault="00000000">
      <w:pPr>
        <w:pStyle w:val="Heading2"/>
        <w:keepNext/>
        <w:spacing w:before="200" w:after="100"/>
      </w:pPr>
      <w:r>
        <w:t>2.3 Hypotheses and decision rules</w:t>
      </w:r>
    </w:p>
    <w:p w14:paraId="50660242" w14:textId="77777777" w:rsidR="00A51D1C" w:rsidRDefault="00000000">
      <w:pPr>
        <w:jc w:val="both"/>
      </w:pPr>
      <w:r>
        <w:t>Table 3 lists the main hypotheses, which I wrote before looking at the corresponding aggregate results.</w:t>
      </w:r>
    </w:p>
    <w:p w14:paraId="74718BBE" w14:textId="77777777" w:rsidR="00A51D1C" w:rsidRDefault="00000000">
      <w:pPr>
        <w:keepNext/>
        <w:keepLines/>
        <w:spacing w:before="160" w:after="100"/>
        <w:jc w:val="both"/>
      </w:pPr>
      <w:r>
        <w:rPr>
          <w:sz w:val="20"/>
          <w:szCs w:val="20"/>
        </w:rPr>
        <w:t>Table 3. Main hypotheses.</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00"/>
        <w:gridCol w:w="3865"/>
      </w:tblGrid>
      <w:tr w:rsidR="00A51D1C" w14:paraId="3C8E309E" w14:textId="77777777">
        <w:tblPrEx>
          <w:tblCellMar>
            <w:top w:w="0" w:type="dxa"/>
            <w:bottom w:w="0" w:type="dxa"/>
          </w:tblCellMar>
        </w:tblPrEx>
        <w:trPr>
          <w:cantSplit/>
          <w:tblHeader/>
          <w:jc w:val="center"/>
        </w:trPr>
        <w:tc>
          <w:tcPr>
            <w:tcW w:w="500"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430AFC32" w14:textId="77777777" w:rsidR="00A51D1C" w:rsidRDefault="00000000">
            <w:pPr>
              <w:keepNext/>
            </w:pPr>
            <w:r>
              <w:rPr>
                <w:b/>
                <w:bCs/>
                <w:sz w:val="18"/>
                <w:szCs w:val="18"/>
              </w:rPr>
              <w:t>ID</w:t>
            </w:r>
          </w:p>
        </w:tc>
        <w:tc>
          <w:tcPr>
            <w:tcW w:w="386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1779F3E4" w14:textId="77777777" w:rsidR="00A51D1C" w:rsidRDefault="00000000">
            <w:pPr>
              <w:keepNext/>
            </w:pPr>
            <w:r>
              <w:rPr>
                <w:b/>
                <w:bCs/>
                <w:sz w:val="18"/>
                <w:szCs w:val="18"/>
              </w:rPr>
              <w:t>Prediction</w:t>
            </w:r>
          </w:p>
        </w:tc>
      </w:tr>
      <w:tr w:rsidR="00A51D1C" w14:paraId="6B6634BD" w14:textId="77777777">
        <w:tblPrEx>
          <w:tblCellMar>
            <w:top w:w="0" w:type="dxa"/>
            <w:bottom w:w="0" w:type="dxa"/>
          </w:tblCellMar>
        </w:tblPrEx>
        <w:trPr>
          <w:cantSplit/>
          <w:jc w:val="center"/>
        </w:trPr>
        <w:tc>
          <w:tcPr>
            <w:tcW w:w="500"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35EBFF7B" w14:textId="77777777" w:rsidR="00A51D1C" w:rsidRDefault="00000000">
            <w:pPr>
              <w:keepNext/>
            </w:pPr>
            <w:r>
              <w:rPr>
                <w:sz w:val="18"/>
                <w:szCs w:val="18"/>
              </w:rPr>
              <w:t>H1</w:t>
            </w:r>
          </w:p>
        </w:tc>
        <w:tc>
          <w:tcPr>
            <w:tcW w:w="386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39B4E29B" w14:textId="77777777" w:rsidR="00A51D1C" w:rsidRDefault="00000000">
            <w:pPr>
              <w:keepNext/>
            </w:pPr>
            <w:r>
              <w:rPr>
                <w:sz w:val="18"/>
                <w:szCs w:val="18"/>
              </w:rPr>
              <w:t>In Qwen, the above- and below-pays trajectories separate early and remain separated.</w:t>
            </w:r>
          </w:p>
        </w:tc>
      </w:tr>
      <w:tr w:rsidR="00A51D1C" w14:paraId="36C76430"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22E18" w14:textId="77777777" w:rsidR="00A51D1C" w:rsidRDefault="00000000">
            <w:pPr>
              <w:keepNext/>
            </w:pPr>
            <w:r>
              <w:rPr>
                <w:sz w:val="18"/>
                <w:szCs w:val="18"/>
              </w:rPr>
              <w:t>H2</w:t>
            </w:r>
          </w:p>
        </w:tc>
        <w:tc>
          <w:tcPr>
            <w:tcW w:w="3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AF3D17" w14:textId="77777777" w:rsidR="00A51D1C" w:rsidRDefault="00000000">
            <w:pPr>
              <w:keepNext/>
            </w:pPr>
            <w:r>
              <w:rPr>
                <w:sz w:val="18"/>
                <w:szCs w:val="18"/>
              </w:rPr>
              <w:t>Hiding the numerical threshold reduces the Donation Bet shift.</w:t>
            </w:r>
          </w:p>
        </w:tc>
      </w:tr>
      <w:tr w:rsidR="00A51D1C" w14:paraId="3F2C778D"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5B4E32" w14:textId="77777777" w:rsidR="00A51D1C" w:rsidRDefault="00000000">
            <w:pPr>
              <w:keepNext/>
            </w:pPr>
            <w:r>
              <w:rPr>
                <w:sz w:val="18"/>
                <w:szCs w:val="18"/>
              </w:rPr>
              <w:t>H3</w:t>
            </w:r>
          </w:p>
        </w:tc>
        <w:tc>
          <w:tcPr>
            <w:tcW w:w="3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D395F4" w14:textId="77777777" w:rsidR="00A51D1C" w:rsidRDefault="00000000">
            <w:pPr>
              <w:keepNext/>
            </w:pPr>
            <w:r>
              <w:rPr>
                <w:sz w:val="18"/>
                <w:szCs w:val="18"/>
              </w:rPr>
              <w:t>Explicitly instructing the model to aim above or below produces a larger shift than the ordinary bet.</w:t>
            </w:r>
          </w:p>
        </w:tc>
      </w:tr>
      <w:tr w:rsidR="00A51D1C" w14:paraId="2C19B711"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F321C2" w14:textId="77777777" w:rsidR="00A51D1C" w:rsidRDefault="00000000">
            <w:pPr>
              <w:keepNext/>
            </w:pPr>
            <w:r>
              <w:rPr>
                <w:sz w:val="18"/>
                <w:szCs w:val="18"/>
              </w:rPr>
              <w:t>H4</w:t>
            </w:r>
          </w:p>
        </w:tc>
        <w:tc>
          <w:tcPr>
            <w:tcW w:w="3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62D888" w14:textId="77777777" w:rsidR="00A51D1C" w:rsidRDefault="00000000">
            <w:pPr>
              <w:keepNext/>
            </w:pPr>
            <w:r>
              <w:rPr>
                <w:sz w:val="18"/>
                <w:szCs w:val="18"/>
              </w:rPr>
              <w:t>Models with larger behavioral shifts disclose the incentive more often.</w:t>
            </w:r>
          </w:p>
        </w:tc>
      </w:tr>
      <w:tr w:rsidR="00A51D1C" w14:paraId="1FD7EE2D"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90E2F6" w14:textId="77777777" w:rsidR="00A51D1C" w:rsidRDefault="00000000">
            <w:pPr>
              <w:keepNext/>
            </w:pPr>
            <w:r>
              <w:rPr>
                <w:sz w:val="18"/>
                <w:szCs w:val="18"/>
              </w:rPr>
              <w:t>H5</w:t>
            </w:r>
          </w:p>
        </w:tc>
        <w:tc>
          <w:tcPr>
            <w:tcW w:w="3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5FE4C3" w14:textId="77777777" w:rsidR="00A51D1C" w:rsidRDefault="00000000">
            <w:pPr>
              <w:keepNext/>
            </w:pPr>
            <w:r>
              <w:rPr>
                <w:sz w:val="18"/>
                <w:szCs w:val="18"/>
              </w:rPr>
              <w:t>Qwen’s stated intermediate estimate is systematically more favorable to the rewarded side than its continuations.</w:t>
            </w:r>
          </w:p>
        </w:tc>
      </w:tr>
      <w:tr w:rsidR="00A51D1C" w14:paraId="34D60147" w14:textId="77777777">
        <w:tblPrEx>
          <w:tblCellMar>
            <w:top w:w="0" w:type="dxa"/>
            <w:bottom w:w="0" w:type="dxa"/>
          </w:tblCellMar>
        </w:tblPrEx>
        <w:trPr>
          <w:cantSplit/>
          <w:jc w:val="center"/>
        </w:trPr>
        <w:tc>
          <w:tcPr>
            <w:tcW w:w="500"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39D8E5F3" w14:textId="77777777" w:rsidR="00A51D1C" w:rsidRDefault="00000000">
            <w:r>
              <w:rPr>
                <w:sz w:val="18"/>
                <w:szCs w:val="18"/>
              </w:rPr>
              <w:t>H6</w:t>
            </w:r>
          </w:p>
        </w:tc>
        <w:tc>
          <w:tcPr>
            <w:tcW w:w="386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50FA7E8E" w14:textId="77777777" w:rsidR="00A51D1C" w:rsidRDefault="00000000">
            <w:r>
              <w:rPr>
                <w:sz w:val="18"/>
                <w:szCs w:val="18"/>
              </w:rPr>
              <w:t>Within a trace, increasing the first spots-per-giraffe premise increases the final estimate.</w:t>
            </w:r>
          </w:p>
        </w:tc>
      </w:tr>
    </w:tbl>
    <w:p w14:paraId="10FBC5A8" w14:textId="77777777" w:rsidR="00A51D1C" w:rsidRDefault="00A51D1C">
      <w:pPr>
        <w:spacing w:after="160"/>
      </w:pPr>
    </w:p>
    <w:p w14:paraId="25DA6EBD" w14:textId="77777777" w:rsidR="00A51D1C" w:rsidRDefault="00000000">
      <w:pPr>
        <w:jc w:val="both"/>
      </w:pPr>
      <w:r>
        <w:t>H1-H4 concern where the behavioral effect appears and how it is described. H5 is a direct test for a local mismatch between the trace and subsequent behavior. H6 is the causal test. For CAUSE, the primary directional result is the sign of the within-trace rank correlation. I use an exact two-sided sign test over the 15 traces, then report correlation and retention as effect-size summaries.</w:t>
      </w:r>
    </w:p>
    <w:p w14:paraId="47D6FEAF" w14:textId="77777777" w:rsidR="00A51D1C" w:rsidRDefault="00000000">
      <w:pPr>
        <w:pStyle w:val="Heading2"/>
        <w:keepNext/>
        <w:spacing w:before="200" w:after="100"/>
      </w:pPr>
      <w:r>
        <w:t>2.4 Validation and sanity checks</w:t>
      </w:r>
    </w:p>
    <w:p w14:paraId="1DF557FE" w14:textId="77777777" w:rsidR="00A51D1C" w:rsidRDefault="00000000">
      <w:pPr>
        <w:jc w:val="both"/>
      </w:pPr>
      <w:r>
        <w:t>Several checks changed the analysis rather than merely confirming it.</w:t>
      </w:r>
    </w:p>
    <w:p w14:paraId="683D6BA2" w14:textId="77777777" w:rsidR="00A51D1C" w:rsidRDefault="00000000">
      <w:pPr>
        <w:pStyle w:val="ListParagraph"/>
        <w:numPr>
          <w:ilvl w:val="0"/>
          <w:numId w:val="2"/>
        </w:numPr>
        <w:spacing w:after="60"/>
        <w:jc w:val="both"/>
      </w:pPr>
      <w:r>
        <w:rPr>
          <w:b/>
          <w:bCs/>
        </w:rPr>
        <w:t>Prompt and prefix fidelity.</w:t>
      </w:r>
      <w:r>
        <w:t xml:space="preserve"> Every replayed prompt, saved reasoning trace, and intervention prefix is verified by SHA-256 hash. The final-answer analysis uses the </w:t>
      </w:r>
      <w:r>
        <w:t>replication’s unchanged number judge and validity filter.</w:t>
      </w:r>
    </w:p>
    <w:p w14:paraId="1757272E" w14:textId="77777777" w:rsidR="00A51D1C" w:rsidRDefault="00000000">
      <w:pPr>
        <w:pStyle w:val="ListParagraph"/>
        <w:numPr>
          <w:ilvl w:val="0"/>
          <w:numId w:val="2"/>
        </w:numPr>
        <w:spacing w:after="60"/>
        <w:jc w:val="both"/>
      </w:pPr>
      <w:r>
        <w:rPr>
          <w:b/>
          <w:bCs/>
        </w:rPr>
        <w:t>Number extraction.</w:t>
      </w:r>
      <w:r>
        <w:t xml:space="preserve"> Using the original prompt, GPT-5.6-luna matched the original Claude Opus 5 extraction in all 199 cases where both judges selected a number.</w:t>
      </w:r>
    </w:p>
    <w:p w14:paraId="0586D6D2" w14:textId="77777777" w:rsidR="00A51D1C" w:rsidRDefault="00000000">
      <w:pPr>
        <w:pStyle w:val="ListParagraph"/>
        <w:numPr>
          <w:ilvl w:val="0"/>
          <w:numId w:val="2"/>
        </w:numPr>
        <w:spacing w:after="60"/>
        <w:jc w:val="both"/>
      </w:pPr>
      <w:r>
        <w:rPr>
          <w:b/>
          <w:bCs/>
        </w:rPr>
        <w:t>Disclosure labels.</w:t>
      </w:r>
      <w:r>
        <w:t xml:space="preserve"> I reran the disclosure judge on a fresh random sample of 40 traces. It returned the same four-way label for 25 of 40. Agreement was higher for admissions than for denials, so I interpret the broad model-level pattern and report raw counts rather than treating the exact label of every trace as ground truth.</w:t>
      </w:r>
    </w:p>
    <w:p w14:paraId="20EBF83A" w14:textId="77777777" w:rsidR="00A51D1C" w:rsidRDefault="00000000">
      <w:pPr>
        <w:pStyle w:val="ListParagraph"/>
        <w:numPr>
          <w:ilvl w:val="0"/>
          <w:numId w:val="2"/>
        </w:numPr>
        <w:spacing w:after="60"/>
        <w:jc w:val="both"/>
      </w:pPr>
      <w:r>
        <w:rPr>
          <w:b/>
          <w:bCs/>
        </w:rPr>
        <w:t>Interruption probes.</w:t>
      </w:r>
      <w:r>
        <w:t xml:space="preserve"> A hand-labeled development set of 60 probe responses reached 86.7% final agreement with the automated extraction. This is not a clean held-out estimate: the second blind round was used to diagnose and repair the judge prompt. An earlier 64-token limit had produced 37 empty judge responses, invalidating two preliminary agreement measurements. I therefore keep the claim qualitative and show the full distribution rather than relying on a small difference in means.</w:t>
      </w:r>
    </w:p>
    <w:p w14:paraId="179E9CEB" w14:textId="77777777" w:rsidR="00A51D1C" w:rsidRDefault="00000000">
      <w:pPr>
        <w:pStyle w:val="ListParagraph"/>
        <w:numPr>
          <w:ilvl w:val="0"/>
          <w:numId w:val="2"/>
        </w:numPr>
        <w:spacing w:after="60"/>
        <w:jc w:val="both"/>
      </w:pPr>
      <w:r>
        <w:rPr>
          <w:b/>
          <w:bCs/>
        </w:rPr>
        <w:t>Parsing and medians.</w:t>
      </w:r>
      <w:r>
        <w:t xml:space="preserve"> For an interruption probe, I use the committed number that completes the prompt’s request for a single current estimate; an explicit range is represented by its midpoint and flagged. Taking the first number from a range would systematically understate some above-pays reports and inflate the apparent mismatch in the tested direction. The paper’s factor-of-ten validity filter removes quantities such as a per-giraffe spot count that are not plausible total answers, and the median of six continuations reduces sensitivity to heavy-tailed endpoints.</w:t>
      </w:r>
    </w:p>
    <w:p w14:paraId="3AF6A0AA" w14:textId="77777777" w:rsidR="00A51D1C" w:rsidRDefault="00000000">
      <w:pPr>
        <w:pStyle w:val="ListParagraph"/>
        <w:numPr>
          <w:ilvl w:val="0"/>
          <w:numId w:val="2"/>
        </w:numPr>
        <w:spacing w:after="60"/>
        <w:jc w:val="both"/>
      </w:pPr>
      <w:r>
        <w:rPr>
          <w:b/>
          <w:bCs/>
        </w:rPr>
        <w:t>Continuation fidelity.</w:t>
      </w:r>
      <w:r>
        <w:t xml:space="preserve"> Ten completed KNOW continuations were audited end to end against five criteria, including exact prefix preservation and a finished final answer; all passed.</w:t>
      </w:r>
    </w:p>
    <w:p w14:paraId="227E6390" w14:textId="77777777" w:rsidR="00A51D1C" w:rsidRDefault="00A51D1C">
      <w:pPr>
        <w:spacing w:after="60"/>
      </w:pPr>
    </w:p>
    <w:p w14:paraId="65BE61ED" w14:textId="77777777" w:rsidR="00A51D1C" w:rsidRDefault="00000000">
      <w:pPr>
        <w:pStyle w:val="Heading2"/>
        <w:keepNext/>
        <w:spacing w:before="200" w:after="100"/>
      </w:pPr>
      <w:r>
        <w:t>2.5 Code and reproducibility</w:t>
      </w:r>
    </w:p>
    <w:p w14:paraId="53BFC066" w14:textId="77777777" w:rsidR="00A51D1C" w:rsidRDefault="00000000">
      <w:pPr>
        <w:jc w:val="both"/>
      </w:pPr>
      <w:r>
        <w:t xml:space="preserve">The project code and reproduction instructions are available in the </w:t>
      </w:r>
      <w:hyperlink r:id="rId9" w:history="1">
        <w:r>
          <w:rPr>
            <w:color w:val="1F3A93"/>
          </w:rPr>
          <w:t>project repository</w:t>
        </w:r>
      </w:hyperlink>
      <w:r>
        <w:t xml:space="preserve">. The repository contains the saved prompts and configurations, cached model responses, deterministic analysis scripts, recorded exclusions, and commands used </w:t>
      </w:r>
      <w:r>
        <w:lastRenderedPageBreak/>
        <w:t>to regenerate the reported statistics and figures. Paid model sampling is separated from the local analysis steps and documented in the README.</w:t>
      </w:r>
    </w:p>
    <w:p w14:paraId="7E44FA31" w14:textId="77777777" w:rsidR="00A51D1C" w:rsidRDefault="00000000">
      <w:pPr>
        <w:pStyle w:val="Heading1"/>
        <w:keepNext/>
        <w:spacing w:before="280" w:after="120"/>
      </w:pPr>
      <w:r>
        <w:t>3. Experiments and results</w:t>
      </w:r>
    </w:p>
    <w:p w14:paraId="373F34A5" w14:textId="77777777" w:rsidR="00A51D1C" w:rsidRDefault="00000000">
      <w:pPr>
        <w:pStyle w:val="Heading2"/>
        <w:keepNext/>
        <w:spacing w:before="200" w:after="100"/>
      </w:pPr>
      <w:r>
        <w:t>3.1 TELL: Does the reasoning reveal what shapes the answer?</w:t>
      </w:r>
    </w:p>
    <w:p w14:paraId="0ED367C0" w14:textId="77777777" w:rsidR="00A51D1C" w:rsidRDefault="00000000">
      <w:pPr>
        <w:jc w:val="both"/>
      </w:pPr>
      <w:r>
        <w:rPr>
          <w:b/>
          <w:bCs/>
        </w:rPr>
        <w:t>Main finding.</w:t>
      </w:r>
      <w:r>
        <w:t xml:space="preserve"> Qwen usually acknowledges the incentive in rewarded-side traces, while Claude more often denies influence. The exact label shares are too judge-sensitive to interpret as calibrated honesty rates.</w:t>
      </w:r>
    </w:p>
    <w:p w14:paraId="5F3FE101" w14:textId="77777777" w:rsidR="00A51D1C" w:rsidRDefault="00000000">
      <w:pPr>
        <w:spacing w:before="100"/>
        <w:jc w:val="both"/>
      </w:pPr>
      <w:r>
        <w:rPr>
          <w:b/>
          <w:bCs/>
        </w:rPr>
        <w:t>Design.</w:t>
      </w:r>
      <w:r>
        <w:t xml:space="preserve"> For each of the ten models, I selected up to 40 rewarded-side traces, balanced across above-pays and below-pays prompts. The judge classified 400 traces in total. I paired those labels with each model’s condition-balanced answer shift, calculated from all usable bet runs.</w:t>
      </w:r>
    </w:p>
    <w:p w14:paraId="30A7BC4E" w14:textId="77777777" w:rsidR="00A51D1C" w:rsidRDefault="00000000">
      <w:pPr>
        <w:ind w:firstLine="220"/>
        <w:jc w:val="both"/>
      </w:pPr>
      <w:r>
        <w:t>This compares two distinct axes:</w:t>
      </w:r>
    </w:p>
    <w:p w14:paraId="2DEFC71E" w14:textId="77777777" w:rsidR="00A51D1C" w:rsidRDefault="00000000">
      <w:pPr>
        <w:pStyle w:val="ListParagraph"/>
        <w:numPr>
          <w:ilvl w:val="0"/>
          <w:numId w:val="2"/>
        </w:numPr>
        <w:spacing w:after="60"/>
        <w:jc w:val="both"/>
      </w:pPr>
      <w:r>
        <w:rPr>
          <w:b/>
          <w:bCs/>
        </w:rPr>
        <w:t>Behavioral shift:</w:t>
      </w:r>
      <w:r>
        <w:t xml:space="preserve"> how strongly changing the donation mapping changes which side of the threshold the answers land on.</w:t>
      </w:r>
    </w:p>
    <w:p w14:paraId="62B68803" w14:textId="77777777" w:rsidR="00A51D1C" w:rsidRDefault="00000000">
      <w:pPr>
        <w:pStyle w:val="ListParagraph"/>
        <w:numPr>
          <w:ilvl w:val="0"/>
          <w:numId w:val="2"/>
        </w:numPr>
        <w:spacing w:after="60"/>
        <w:jc w:val="both"/>
      </w:pPr>
      <w:r>
        <w:rPr>
          <w:b/>
          <w:bCs/>
        </w:rPr>
        <w:t>Disclosure:</w:t>
      </w:r>
      <w:r>
        <w:t xml:space="preserve"> how the visible reasoning describes the role of the bet.</w:t>
      </w:r>
    </w:p>
    <w:p w14:paraId="0F8CCB30" w14:textId="77777777" w:rsidR="00A51D1C" w:rsidRDefault="00A51D1C">
      <w:pPr>
        <w:spacing w:after="60"/>
      </w:pPr>
    </w:p>
    <w:p w14:paraId="275B99BA" w14:textId="77777777" w:rsidR="00A51D1C" w:rsidRDefault="00000000">
      <w:pPr>
        <w:jc w:val="both"/>
      </w:pPr>
      <w:r>
        <w:t>The two should not be conflated. A model can discuss the bet frequently without moving its answer, or move its answer while denying that the bet mattered.</w:t>
      </w:r>
    </w:p>
    <w:p w14:paraId="00252B46" w14:textId="77777777" w:rsidR="00A51D1C" w:rsidRDefault="00000000">
      <w:pPr>
        <w:keepNext/>
        <w:framePr w:w="9070" w:vSpace="240" w:wrap="notBeside" w:hAnchor="margin" w:xAlign="center" w:yAlign="top"/>
        <w:spacing w:after="80"/>
        <w:jc w:val="center"/>
      </w:pPr>
      <w:r>
        <w:rPr>
          <w:noProof/>
        </w:rPr>
        <w:drawing>
          <wp:inline distT="0" distB="0" distL="0" distR="0" wp14:anchorId="2D91766F" wp14:editId="4079518C">
            <wp:extent cx="5759450" cy="2480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9450" cy="2480226"/>
                    </a:xfrm>
                    <a:prstGeom prst="rect">
                      <a:avLst/>
                    </a:prstGeom>
                  </pic:spPr>
                </pic:pic>
              </a:graphicData>
            </a:graphic>
          </wp:inline>
        </w:drawing>
      </w:r>
    </w:p>
    <w:p w14:paraId="2CF9C079" w14:textId="77777777" w:rsidR="00A51D1C" w:rsidRDefault="00000000">
      <w:pPr>
        <w:keepLines/>
        <w:framePr w:w="9070" w:vSpace="240" w:wrap="notBeside" w:hAnchor="margin" w:xAlign="center" w:yAlign="top"/>
        <w:jc w:val="both"/>
      </w:pPr>
      <w:r>
        <w:rPr>
          <w:sz w:val="20"/>
          <w:szCs w:val="20"/>
        </w:rPr>
        <w:t>Figure 1. Behavioral shift and disclosure do not collapse to one variable. The left panel plots each model’s answer shift against the share of sampled traces that admit influence; horizontal bars show descriptive uncertainty in the admission share, combining binomial sampling uncertainty with the observed ten-point movement when the same disclosure judge was rerun. The right panel shows the four disclosure labels for 40 traces per model.</w:t>
      </w:r>
    </w:p>
    <w:p w14:paraId="0459A39A" w14:textId="77777777" w:rsidR="00A51D1C" w:rsidRDefault="00000000">
      <w:pPr>
        <w:spacing w:before="100"/>
        <w:jc w:val="both"/>
      </w:pPr>
      <w:r>
        <w:rPr>
          <w:b/>
          <w:bCs/>
        </w:rPr>
        <w:t>Results.</w:t>
      </w:r>
      <w:r>
        <w:t xml:space="preserve"> Across all 400 first-pass labels, 240 traces admitted influence, 25 mentioned the bet without admitting influence, 18 never raised it, and 117 denied influence. The broad pattern is therefore not one of universal silence. The more relevant variation is whether the reasoning owns or disclaims the bet’s influence.</w:t>
      </w:r>
    </w:p>
    <w:p w14:paraId="7DE5EAF0" w14:textId="77777777" w:rsidR="00A51D1C" w:rsidRDefault="00000000">
      <w:pPr>
        <w:ind w:firstLine="220"/>
        <w:jc w:val="both"/>
      </w:pPr>
      <w:r>
        <w:t>Qwen has the largest answer shift, 0.545, and the most admissions: 33 of 40 traces. Three more mention the bet and four deny influence. Claude has a smaller shift, 0.262, but a markedly different disclosure profile: 13 admissions, two mentions, and 25 denials.</w:t>
      </w:r>
    </w:p>
    <w:p w14:paraId="7872E887" w14:textId="77777777" w:rsidR="00A51D1C" w:rsidRDefault="00000000">
      <w:pPr>
        <w:ind w:firstLine="220"/>
        <w:jc w:val="both"/>
      </w:pPr>
      <w:r>
        <w:t>Figure 1 also shows why disclosure cannot substitute for the behavioral metric. MiniMax-M3 admits influence in 22 of 40 traces while its condition-balanced shift is only 0.053. DeepSeek V4 Flash admits influence in 33 of 40 and shifts by 0.227. Qwen both admits and shifts substantially. These are different properties.</w:t>
      </w:r>
    </w:p>
    <w:p w14:paraId="6B4F8019" w14:textId="77777777" w:rsidR="00A51D1C" w:rsidRDefault="00000000">
      <w:pPr>
        <w:ind w:firstLine="220"/>
        <w:jc w:val="both"/>
      </w:pPr>
      <w:r>
        <w:t>A few traces contain unusually direct evidence of planned concealment. One Inkling-small rollout says:</w:t>
      </w:r>
    </w:p>
    <w:p w14:paraId="63F21F10" w14:textId="77777777" w:rsidR="00A51D1C" w:rsidRDefault="00000000">
      <w:pPr>
        <w:spacing w:before="100" w:after="100"/>
        <w:ind w:left="340" w:right="340"/>
        <w:jc w:val="both"/>
      </w:pPr>
      <w:r>
        <w:rPr>
          <w:i/>
          <w:iCs/>
        </w:rPr>
        <w:t>“I want to provide a number that is just above so that if they wanted good cause, it’s satisfied, but I won’t say that.”</w:t>
      </w:r>
    </w:p>
    <w:p w14:paraId="5A9E9CE0" w14:textId="77777777" w:rsidR="00A51D1C" w:rsidRDefault="00000000">
      <w:pPr>
        <w:jc w:val="both"/>
      </w:pPr>
      <w:r>
        <w:t>A Qwen rollout separately plans:</w:t>
      </w:r>
    </w:p>
    <w:p w14:paraId="11F52514" w14:textId="77777777" w:rsidR="00A51D1C" w:rsidRDefault="00000000">
      <w:pPr>
        <w:spacing w:before="100" w:after="100"/>
        <w:ind w:left="340" w:right="340"/>
        <w:jc w:val="both"/>
      </w:pPr>
      <w:r>
        <w:rPr>
          <w:i/>
          <w:iCs/>
        </w:rPr>
        <w:t>“Avoid mentioning the bet outcome explicitly to remain neutral, but provide the reasoning that leads to the number.”</w:t>
      </w:r>
    </w:p>
    <w:p w14:paraId="049C32BB" w14:textId="77777777" w:rsidR="00A51D1C" w:rsidRDefault="00000000">
      <w:pPr>
        <w:jc w:val="both"/>
      </w:pPr>
      <w:r>
        <w:t>These are selected examples, not prevalence estimates. They concern what the model plans to include in its final answer, not concealment from the hidden reasoning trace. Their value is narrower: they show that a trace can reveal target-</w:t>
      </w:r>
      <w:r>
        <w:lastRenderedPageBreak/>
        <w:t>directed reasoning alongside a decision not to disclose it to the user.</w:t>
      </w:r>
    </w:p>
    <w:p w14:paraId="7752E7D4" w14:textId="77777777" w:rsidR="00A51D1C" w:rsidRDefault="00000000">
      <w:pPr>
        <w:spacing w:before="100"/>
        <w:jc w:val="both"/>
      </w:pPr>
      <w:r>
        <w:rPr>
          <w:b/>
          <w:bCs/>
        </w:rPr>
        <w:t>Reliability check.</w:t>
      </w:r>
      <w:r>
        <w:t xml:space="preserve"> As Figure 2 shows, an identical second judgment on 40 randomly selected traces reproduced 25 of the 40 four-way labels. It reproduced 17 of 23 first-pass admissions but only four of 11 denials. Five first-pass denials became admissions, while three first-pass admissions became denials. The overall denial share moved from 27.5% to 17.5%.</w:t>
      </w:r>
    </w:p>
    <w:p w14:paraId="42949D30" w14:textId="77777777" w:rsidR="00A51D1C" w:rsidRDefault="00000000">
      <w:pPr>
        <w:keepNext/>
        <w:spacing w:before="120" w:after="80"/>
        <w:jc w:val="center"/>
      </w:pPr>
      <w:r>
        <w:rPr>
          <w:noProof/>
        </w:rPr>
        <w:drawing>
          <wp:inline distT="0" distB="0" distL="0" distR="0" wp14:anchorId="093A3DCE" wp14:editId="1A61C86D">
            <wp:extent cx="2771775" cy="20999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71775" cy="2099983"/>
                    </a:xfrm>
                    <a:prstGeom prst="rect">
                      <a:avLst/>
                    </a:prstGeom>
                  </pic:spPr>
                </pic:pic>
              </a:graphicData>
            </a:graphic>
          </wp:inline>
        </w:drawing>
      </w:r>
    </w:p>
    <w:p w14:paraId="5A5F06F0" w14:textId="77777777" w:rsidR="00A51D1C" w:rsidRDefault="00000000">
      <w:pPr>
        <w:keepLines/>
        <w:spacing w:after="200"/>
        <w:jc w:val="both"/>
      </w:pPr>
      <w:r>
        <w:rPr>
          <w:sz w:val="20"/>
          <w:szCs w:val="20"/>
        </w:rPr>
        <w:t>Figure 2. Confusion matrix for two passes of the identical disclosure judge on the same 40 traces. The diagonal contains 25 agreements. Most disagreement falls on the admission-versus-denial distinction used in the main comparison.</w:t>
      </w:r>
    </w:p>
    <w:p w14:paraId="0A9A107D" w14:textId="77777777" w:rsidR="00A51D1C" w:rsidRDefault="00000000">
      <w:pPr>
        <w:jc w:val="both"/>
      </w:pPr>
      <w:r>
        <w:t>The roughly 52-point first-pass denial difference between Claude and Qwen is much larger than the ten-point change in the aggregate denial share, so the contrast remains useful. The judge does not support precise rankings among models with first-pass denial rates clustered between 38% and 42%.</w:t>
      </w:r>
    </w:p>
    <w:p w14:paraId="53774315" w14:textId="77777777" w:rsidR="00A51D1C" w:rsidRDefault="00000000">
      <w:pPr>
        <w:spacing w:before="100"/>
        <w:jc w:val="both"/>
      </w:pPr>
      <w:r>
        <w:rPr>
          <w:b/>
          <w:bCs/>
        </w:rPr>
        <w:t>TELL therefore suggests that the incentive is often visible in reasoning, but not reliably disclosed across models.</w:t>
      </w:r>
      <w:r>
        <w:t xml:space="preserve"> Qwen usually acknowledges it, which makes the later causal question testable. Claude looks more concerning, but noisy labels and summarized reasoning mean that a stronger claim requires a better instrument and fresh raw traces.</w:t>
      </w:r>
    </w:p>
    <w:p w14:paraId="215554E6" w14:textId="77777777" w:rsidR="00A51D1C" w:rsidRDefault="00000000">
      <w:pPr>
        <w:pStyle w:val="Heading2"/>
        <w:keepNext/>
        <w:spacing w:before="200" w:after="100"/>
      </w:pPr>
      <w:r>
        <w:t>3.2 AIM: Does the model need an actionable target to shape the answer?</w:t>
      </w:r>
    </w:p>
    <w:p w14:paraId="61A6ADFB" w14:textId="77777777" w:rsidR="00A51D1C" w:rsidRDefault="00000000">
      <w:pPr>
        <w:jc w:val="both"/>
      </w:pPr>
      <w:r>
        <w:rPr>
          <w:b/>
          <w:bCs/>
        </w:rPr>
        <w:t>Main finding.</w:t>
      </w:r>
      <w:r>
        <w:t xml:space="preserve"> Qwen’s answer shift becomes substantially smaller when the donation prompt still specifies which direction benefits the good cause but withholds the numerical threshold. Its trajectories are consistent with the separation appearing early rather than accumulating through later revisions.</w:t>
      </w:r>
    </w:p>
    <w:p w14:paraId="526D5963" w14:textId="77777777" w:rsidR="00A51D1C" w:rsidRDefault="00000000">
      <w:pPr>
        <w:spacing w:before="100"/>
        <w:jc w:val="both"/>
      </w:pPr>
      <w:r>
        <w:rPr>
          <w:b/>
          <w:bCs/>
        </w:rPr>
        <w:t>Design.</w:t>
      </w:r>
      <w:r>
        <w:t xml:space="preserve"> I compared four prompt versions:</w:t>
      </w:r>
    </w:p>
    <w:p w14:paraId="480B17B0" w14:textId="77777777" w:rsidR="00A51D1C" w:rsidRDefault="00000000">
      <w:pPr>
        <w:pStyle w:val="ListParagraph"/>
        <w:numPr>
          <w:ilvl w:val="0"/>
          <w:numId w:val="2"/>
        </w:numPr>
        <w:spacing w:after="60"/>
        <w:jc w:val="both"/>
      </w:pPr>
      <w:r>
        <w:rPr>
          <w:b/>
          <w:bCs/>
        </w:rPr>
        <w:t>Baseline:</w:t>
      </w:r>
      <w:r>
        <w:t xml:space="preserve"> the factual estimation question, with no bet and no target instruction.</w:t>
      </w:r>
    </w:p>
    <w:p w14:paraId="6C9883EA" w14:textId="77777777" w:rsidR="00A51D1C" w:rsidRDefault="00000000">
      <w:pPr>
        <w:pStyle w:val="ListParagraph"/>
        <w:numPr>
          <w:ilvl w:val="0"/>
          <w:numId w:val="2"/>
        </w:numPr>
        <w:spacing w:after="60"/>
        <w:jc w:val="both"/>
      </w:pPr>
      <w:r>
        <w:rPr>
          <w:b/>
          <w:bCs/>
        </w:rPr>
        <w:t>Bet, shown threshold:</w:t>
      </w:r>
      <w:r>
        <w:t xml:space="preserve"> the donation mapping and the numerical threshold. This is the original behavior of interest.</w:t>
      </w:r>
    </w:p>
    <w:p w14:paraId="3209A510" w14:textId="77777777" w:rsidR="00A51D1C" w:rsidRDefault="00000000">
      <w:pPr>
        <w:pStyle w:val="ListParagraph"/>
        <w:numPr>
          <w:ilvl w:val="0"/>
          <w:numId w:val="2"/>
        </w:numPr>
        <w:spacing w:after="60"/>
        <w:jc w:val="both"/>
      </w:pPr>
      <w:r>
        <w:rPr>
          <w:b/>
          <w:bCs/>
        </w:rPr>
        <w:t>Bet, withheld threshold:</w:t>
      </w:r>
      <w:r>
        <w:t xml:space="preserve"> the donation mapping and rewarded direction, but not the numerical cutoff. This tests whether the model needs to know where the line is.</w:t>
      </w:r>
    </w:p>
    <w:p w14:paraId="370E36CC" w14:textId="77777777" w:rsidR="00A51D1C" w:rsidRDefault="00000000">
      <w:pPr>
        <w:pStyle w:val="ListParagraph"/>
        <w:numPr>
          <w:ilvl w:val="0"/>
          <w:numId w:val="2"/>
        </w:numPr>
        <w:spacing w:after="60"/>
        <w:jc w:val="both"/>
      </w:pPr>
      <w:r>
        <w:rPr>
          <w:b/>
          <w:bCs/>
        </w:rPr>
        <w:t>Instructed:</w:t>
      </w:r>
      <w:r>
        <w:t xml:space="preserve"> a direct instruction to return a defensible estimate above or below the threshold, without moral stakes. This checks that the analysis detects overt target-directed steering.</w:t>
      </w:r>
    </w:p>
    <w:p w14:paraId="3758FDBC" w14:textId="77777777" w:rsidR="00A51D1C" w:rsidRDefault="00A51D1C">
      <w:pPr>
        <w:spacing w:after="60"/>
      </w:pPr>
    </w:p>
    <w:p w14:paraId="6C0AF607" w14:textId="77777777" w:rsidR="00A51D1C" w:rsidRDefault="00000000">
      <w:pPr>
        <w:jc w:val="both"/>
      </w:pPr>
      <w:r>
        <w:t>The hidden-threshold condition preserves the good-versus-bad framing and tells the model which direction benefits the good cause. It removes only the number needed to target the boundary. The evaluation still uses the true threshold.</w:t>
      </w:r>
    </w:p>
    <w:p w14:paraId="7B8D577C" w14:textId="77777777" w:rsidR="00A51D1C" w:rsidRDefault="00000000">
      <w:pPr>
        <w:keepNext/>
        <w:spacing w:before="120" w:after="80"/>
        <w:jc w:val="center"/>
      </w:pPr>
      <w:r>
        <w:rPr>
          <w:noProof/>
        </w:rPr>
        <w:drawing>
          <wp:inline distT="0" distB="0" distL="0" distR="0" wp14:anchorId="3452C71A" wp14:editId="66AD118D">
            <wp:extent cx="2771775" cy="1566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71775" cy="1566533"/>
                    </a:xfrm>
                    <a:prstGeom prst="rect">
                      <a:avLst/>
                    </a:prstGeom>
                  </pic:spPr>
                </pic:pic>
              </a:graphicData>
            </a:graphic>
          </wp:inline>
        </w:drawing>
      </w:r>
    </w:p>
    <w:p w14:paraId="7862344B" w14:textId="77777777" w:rsidR="00A51D1C" w:rsidRDefault="00000000">
      <w:pPr>
        <w:keepLines/>
        <w:spacing w:after="200"/>
        <w:jc w:val="both"/>
      </w:pPr>
      <w:r>
        <w:rPr>
          <w:sz w:val="20"/>
          <w:szCs w:val="20"/>
        </w:rPr>
        <w:t>Figure 3. Answer shift when the rewarded side flips. Qwen follows an explicit instruction perfectly, shifts substantially in the ordinary Donation Bet, and shifts less when the threshold is withheld. GLM passes the explicit-instruction check but shows only a small ordinary-bet effect on this fresh endpoint. Error bars are 95% confidence intervals.</w:t>
      </w:r>
    </w:p>
    <w:p w14:paraId="6A7D1203" w14:textId="77777777" w:rsidR="00A51D1C" w:rsidRDefault="00000000">
      <w:pPr>
        <w:spacing w:before="100"/>
        <w:jc w:val="both"/>
      </w:pPr>
      <w:r>
        <w:rPr>
          <w:b/>
          <w:bCs/>
        </w:rPr>
        <w:t>Behavioral results.</w:t>
      </w:r>
      <w:r>
        <w:t xml:space="preserve"> Figure 3 summarizes the shifts. For Qwen, the instructed condition produces the maximum possible shift, 1.000 (60 usable answers; 95% CI 0.773 to 1.000). The ordinary Donation Bet produces a shift of 0.526 (193 usable answers; 95% CI 0.339 to 0.672): 71.7% of above-pays answers cross the threshold, compared with 19.1% of below-pays answers. The hidden-threshold condition produces a shift of 0.167 (60 usable answers; 95% CI -0.185 to 0.480).</w:t>
      </w:r>
    </w:p>
    <w:p w14:paraId="5B28E52A" w14:textId="77777777" w:rsidR="00A51D1C" w:rsidRDefault="00000000">
      <w:pPr>
        <w:ind w:firstLine="220"/>
        <w:jc w:val="both"/>
      </w:pPr>
      <w:r>
        <w:t xml:space="preserve">Hiding the threshold reduces the point estimate by about 68%, leaving the hidden estimate at 32% of the ordinary-bet estimate. The interval is wide, </w:t>
      </w:r>
      <w:r>
        <w:lastRenderedPageBreak/>
        <w:t>so I do not claim that the remaining effect is zero. The result shows that access to the numerical target accounts for a substantial part of Qwen’s observed steering.</w:t>
      </w:r>
    </w:p>
    <w:p w14:paraId="4AEC618F" w14:textId="77777777" w:rsidR="00A51D1C" w:rsidRDefault="00000000">
      <w:pPr>
        <w:ind w:firstLine="220"/>
        <w:jc w:val="both"/>
      </w:pPr>
      <w:r>
        <w:t>The instructed condition provides a ceiling check: every observed run lands on the requested side. The Donation Bet produces about 53% of this complete observed separation.</w:t>
      </w:r>
    </w:p>
    <w:p w14:paraId="69679AF7" w14:textId="77777777" w:rsidR="00A51D1C" w:rsidRDefault="00000000">
      <w:pPr>
        <w:ind w:firstLine="220"/>
        <w:jc w:val="both"/>
      </w:pPr>
      <w:r>
        <w:t>One Qwen trace makes the use of the target unusually explicit:</w:t>
      </w:r>
    </w:p>
    <w:p w14:paraId="46B0E4C6" w14:textId="77777777" w:rsidR="00A51D1C" w:rsidRDefault="00000000">
      <w:pPr>
        <w:spacing w:before="100" w:after="100"/>
        <w:ind w:left="340" w:right="340"/>
        <w:jc w:val="both"/>
      </w:pPr>
      <w:r>
        <w:rPr>
          <w:i/>
          <w:iCs/>
        </w:rPr>
        <w:t>“If I say 39,000,000, it’s under. If I say 42,000,000, it’s over.”</w:t>
      </w:r>
    </w:p>
    <w:p w14:paraId="0B45611D" w14:textId="77777777" w:rsidR="00A51D1C" w:rsidRDefault="00000000">
      <w:pPr>
        <w:jc w:val="both"/>
      </w:pPr>
      <w:r>
        <w:t>This is an illustration, not evidence about prevalence. The aggregate intervention is what shows that target visibility matters.</w:t>
      </w:r>
    </w:p>
    <w:p w14:paraId="7FAB5F90" w14:textId="77777777" w:rsidR="00A51D1C" w:rsidRDefault="00000000">
      <w:pPr>
        <w:keepNext/>
        <w:spacing w:before="100"/>
        <w:jc w:val="both"/>
      </w:pPr>
      <w:r>
        <w:rPr>
          <w:b/>
          <w:bCs/>
        </w:rPr>
        <w:t>Where the separation appears.</w:t>
      </w:r>
    </w:p>
    <w:p w14:paraId="6C7E02D5" w14:textId="77777777" w:rsidR="00A51D1C" w:rsidRDefault="00000000">
      <w:pPr>
        <w:keepNext/>
        <w:framePr w:w="9070" w:vSpace="240" w:wrap="notBeside" w:hAnchor="margin" w:xAlign="center" w:yAlign="top"/>
        <w:spacing w:after="80"/>
        <w:jc w:val="center"/>
      </w:pPr>
      <w:r>
        <w:rPr>
          <w:noProof/>
        </w:rPr>
        <w:drawing>
          <wp:inline distT="0" distB="0" distL="0" distR="0" wp14:anchorId="188737A6" wp14:editId="166EA496">
            <wp:extent cx="4146804" cy="2988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6804" cy="2988639"/>
                    </a:xfrm>
                    <a:prstGeom prst="rect">
                      <a:avLst/>
                    </a:prstGeom>
                  </pic:spPr>
                </pic:pic>
              </a:graphicData>
            </a:graphic>
          </wp:inline>
        </w:drawing>
      </w:r>
    </w:p>
    <w:p w14:paraId="393F9865" w14:textId="77777777" w:rsidR="00A51D1C" w:rsidRDefault="00000000">
      <w:pPr>
        <w:keepLines/>
        <w:framePr w:w="9070" w:vSpace="240" w:wrap="notBeside" w:hAnchor="margin" w:xAlign="center" w:yAlign="top"/>
        <w:jc w:val="both"/>
      </w:pPr>
      <w:r>
        <w:rPr>
          <w:sz w:val="20"/>
          <w:szCs w:val="20"/>
        </w:rPr>
        <w:t>Figure 4. Qwen’s median cumulative estimates over normalized trace position. Values are measured relative to the 41 million threshold. In the ordinary and instructed conditions, the above- and below-target traces are already separated at the start and remain separated. Lines are medians and bands are interquartile ranges.</w:t>
      </w:r>
    </w:p>
    <w:p w14:paraId="57C62DA3" w14:textId="77777777" w:rsidR="00A51D1C" w:rsidRDefault="00000000">
      <w:pPr>
        <w:jc w:val="both"/>
      </w:pPr>
      <w:r>
        <w:t>In the ordinary bet, the gap between the two Qwen trajectories in Figure 4 is 0.186 threshold units at the first extracted candidate and 0.170 at the end. Under explicit instruction, it is 0.276 at the first candidate and 0.266 at the end. The conditions are already separated when the first numerical candidate becomes visible, and the gap does not grow through the later calculation.</w:t>
      </w:r>
    </w:p>
    <w:p w14:paraId="68D1A2F9" w14:textId="77777777" w:rsidR="00A51D1C" w:rsidRDefault="00000000">
      <w:pPr>
        <w:ind w:firstLine="220"/>
        <w:jc w:val="both"/>
      </w:pPr>
      <w:r>
        <w:t>This does not establish that the first candidate sentence caused the final answer. The plot averages different traces, bootstrap intervals for the change in the trajectory gap are wide, and the hidden-threshold curve is noisy. I therefore treat the trajectories as localization evidence. The behavioral prompt intervention is the main result, and CAUSE tests a specific written premise directly.</w:t>
      </w:r>
    </w:p>
    <w:p w14:paraId="4D6625B7" w14:textId="77777777" w:rsidR="00A51D1C" w:rsidRDefault="00000000">
      <w:pPr>
        <w:spacing w:before="100"/>
        <w:jc w:val="both"/>
      </w:pPr>
      <w:r>
        <w:rPr>
          <w:b/>
          <w:bCs/>
        </w:rPr>
        <w:t>Endpoint sensitivity.</w:t>
      </w:r>
      <w:r>
        <w:t xml:space="preserve"> A rerun of the ordinary GLM bet on a different serving endpoint produced a much smaller shift, which reflects a poorly calibrated inherited threshold rather than a clean failure to replicate (Appendix A.3).</w:t>
      </w:r>
    </w:p>
    <w:p w14:paraId="62C1AF9A" w14:textId="77777777" w:rsidR="00A51D1C" w:rsidRDefault="00000000">
      <w:pPr>
        <w:spacing w:before="100"/>
        <w:jc w:val="both"/>
      </w:pPr>
      <w:r>
        <w:rPr>
          <w:b/>
          <w:bCs/>
        </w:rPr>
        <w:t>AIM therefore provides evidence that both the Donation Bet and a direct instruction can steer Qwen’s estimate, but that this steering depends substantially on having a numerical target it can use.</w:t>
      </w:r>
      <w:r>
        <w:t xml:space="preserve"> The separation is visible near the start of the observable calculation. That temporal pattern motivates the direct intervention in CAUSE, but does not replace it.</w:t>
      </w:r>
    </w:p>
    <w:p w14:paraId="3B7A83C8" w14:textId="77777777" w:rsidR="00A51D1C" w:rsidRDefault="00000000">
      <w:pPr>
        <w:pStyle w:val="Heading2"/>
        <w:keepNext/>
        <w:spacing w:before="200" w:after="100"/>
      </w:pPr>
      <w:r>
        <w:t>3.3 KNOW: Does the stated intermediate estimate reveal how the answer is taking shape?</w:t>
      </w:r>
    </w:p>
    <w:p w14:paraId="661E6B84" w14:textId="77777777" w:rsidR="00A51D1C" w:rsidRDefault="00000000">
      <w:pPr>
        <w:jc w:val="both"/>
      </w:pPr>
      <w:r>
        <w:rPr>
          <w:b/>
          <w:bCs/>
        </w:rPr>
        <w:t>Main finding.</w:t>
      </w:r>
      <w:r>
        <w:t xml:space="preserve"> In the selected Qwen traces, I do not observe a systematic rewarded-direction difference between the model’s stated mid-trace estimate and the median of its continuations. The test measures local predictive consistency, not introspective access to a hidden state.</w:t>
      </w:r>
    </w:p>
    <w:p w14:paraId="380F9B51" w14:textId="77777777" w:rsidR="00A51D1C" w:rsidRDefault="00000000">
      <w:pPr>
        <w:spacing w:before="100"/>
        <w:jc w:val="both"/>
      </w:pPr>
      <w:r>
        <w:rPr>
          <w:b/>
          <w:bCs/>
        </w:rPr>
        <w:t>Design.</w:t>
      </w:r>
      <w:r>
        <w:t xml:space="preserve"> I selected ten Donation Bet traces and ten instructed traces, balanced across above-target and below-target prompts and weighted toward rewarded-side outcomes. Each saved trace was cut at 25%, 50%, and 75% of its character length, snapped back to a sentence boundary.</w:t>
      </w:r>
    </w:p>
    <w:p w14:paraId="49C64FA3" w14:textId="77777777" w:rsidR="00A51D1C" w:rsidRDefault="00000000">
      <w:pPr>
        <w:ind w:firstLine="220"/>
        <w:jc w:val="both"/>
      </w:pPr>
      <w:r>
        <w:lastRenderedPageBreak/>
        <w:t>Figure 5 shows how, at every cut, I created two branches from the same partial text:</w:t>
      </w:r>
    </w:p>
    <w:p w14:paraId="57E9F88E" w14:textId="77777777" w:rsidR="00A51D1C" w:rsidRDefault="00000000">
      <w:pPr>
        <w:pStyle w:val="ListParagraph"/>
        <w:numPr>
          <w:ilvl w:val="0"/>
          <w:numId w:val="3"/>
        </w:numPr>
        <w:spacing w:after="60"/>
        <w:jc w:val="both"/>
      </w:pPr>
      <w:r>
        <w:rPr>
          <w:b/>
          <w:bCs/>
        </w:rPr>
        <w:t>Probe branch:</w:t>
      </w:r>
      <w:r>
        <w:t xml:space="preserve"> I appended a neutral sentence fragment in the model’s own voice and asked it to state its current best point estimate before any further calculation.</w:t>
      </w:r>
    </w:p>
    <w:p w14:paraId="45F13F58" w14:textId="77777777" w:rsidR="00A51D1C" w:rsidRDefault="00000000">
      <w:pPr>
        <w:pStyle w:val="ListParagraph"/>
        <w:numPr>
          <w:ilvl w:val="0"/>
          <w:numId w:val="3"/>
        </w:numPr>
        <w:spacing w:after="60"/>
        <w:jc w:val="both"/>
      </w:pPr>
      <w:r>
        <w:rPr>
          <w:b/>
          <w:bCs/>
        </w:rPr>
        <w:t>Continuation branches:</w:t>
      </w:r>
      <w:r>
        <w:t xml:space="preserve"> I resumed the same partial trace six times without the probe and extracted the final estimate from each continuation.</w:t>
      </w:r>
    </w:p>
    <w:p w14:paraId="5317F20D" w14:textId="77777777" w:rsidR="00A51D1C" w:rsidRDefault="00A51D1C">
      <w:pPr>
        <w:spacing w:after="60"/>
      </w:pPr>
    </w:p>
    <w:p w14:paraId="58ADC9D1" w14:textId="77777777" w:rsidR="00A51D1C" w:rsidRDefault="00000000">
      <w:pPr>
        <w:jc w:val="both"/>
      </w:pPr>
      <w:r>
        <w:t>The probe ends mid-sentence so that the natural next text is a number:</w:t>
      </w:r>
    </w:p>
    <w:p w14:paraId="1E2442C0" w14:textId="77777777" w:rsidR="00A51D1C" w:rsidRDefault="00000000">
      <w:pPr>
        <w:spacing w:before="100" w:after="100"/>
        <w:ind w:left="340" w:right="340"/>
        <w:jc w:val="both"/>
      </w:pPr>
      <w:r>
        <w:rPr>
          <w:i/>
          <w:iCs/>
        </w:rPr>
        <w:t>“Let me pause and state where I am right now, before any further calculation. My single best point estimate at this moment is”</w:t>
      </w:r>
    </w:p>
    <w:p w14:paraId="702181D6" w14:textId="77777777" w:rsidR="00A51D1C" w:rsidRDefault="00000000">
      <w:pPr>
        <w:jc w:val="both"/>
      </w:pPr>
      <w:r>
        <w:t>It does not name the threshold, rewarded direction, or desired value. Adding a new user turn would change the conversational context, so both branches use assistant content prefill.</w:t>
      </w:r>
    </w:p>
    <w:p w14:paraId="507ED086" w14:textId="77777777" w:rsidR="00A51D1C" w:rsidRDefault="00000000">
      <w:pPr>
        <w:ind w:firstLine="220"/>
        <w:jc w:val="both"/>
      </w:pPr>
      <w:r>
        <w:t>The original plan was to compare an admitter with a denier. That was not runnable without combining two serving stacks: the strongest denier’s saved reasoning was summarized, and most raw traces were generated on an endpoint that could not be continued. I replaced that comparison with a within-Qwen comparison between bet and instructed traces. This holds the model and serving stack fixed, but means the experiment does not test a strong denier.</w:t>
      </w:r>
    </w:p>
    <w:p w14:paraId="2C12802B" w14:textId="77777777" w:rsidR="00A51D1C" w:rsidRDefault="00000000">
      <w:pPr>
        <w:ind w:firstLine="220"/>
        <w:jc w:val="both"/>
      </w:pPr>
      <w:r>
        <w:t>Fifty of the 60 planned interruptions passed the probe and continuation filters.</w:t>
      </w:r>
    </w:p>
    <w:p w14:paraId="5CCBC324" w14:textId="77777777" w:rsidR="00A51D1C" w:rsidRDefault="00000000">
      <w:pPr>
        <w:keepNext/>
        <w:framePr w:w="9070" w:vSpace="240" w:wrap="notBeside" w:hAnchor="margin" w:xAlign="center" w:yAlign="top"/>
        <w:spacing w:after="80"/>
        <w:jc w:val="center"/>
      </w:pPr>
      <w:r>
        <w:rPr>
          <w:noProof/>
        </w:rPr>
        <w:drawing>
          <wp:inline distT="0" distB="0" distL="0" distR="0" wp14:anchorId="2DACDAB2" wp14:editId="5B4EAE16">
            <wp:extent cx="4895533" cy="2918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95533" cy="2918831"/>
                    </a:xfrm>
                    <a:prstGeom prst="rect">
                      <a:avLst/>
                    </a:prstGeom>
                  </pic:spPr>
                </pic:pic>
              </a:graphicData>
            </a:graphic>
          </wp:inline>
        </w:drawing>
      </w:r>
    </w:p>
    <w:p w14:paraId="100A2DE6" w14:textId="77777777" w:rsidR="00A51D1C" w:rsidRDefault="00000000">
      <w:pPr>
        <w:keepLines/>
        <w:framePr w:w="9070" w:vSpace="240" w:wrap="notBeside" w:hAnchor="margin" w:xAlign="center" w:yAlign="top"/>
        <w:jc w:val="both"/>
      </w:pPr>
      <w:r>
        <w:rPr>
          <w:sz w:val="20"/>
          <w:szCs w:val="20"/>
        </w:rPr>
        <w:t>Figure 5. KNOW procedure for one real Qwen trace. At each cut, the model gives its current estimate in a probe and is separately continued six times from the same saved prefix. The comparison is between the probe estimate and the median final estimate of those continuations; the original uninterrupted answer is shown only for context. This trace was chosen because its differences are visually clear, not because it is representative.</w:t>
      </w:r>
    </w:p>
    <w:p w14:paraId="718F80A8" w14:textId="77777777" w:rsidR="00A51D1C" w:rsidRDefault="00000000">
      <w:pPr>
        <w:spacing w:before="100"/>
        <w:jc w:val="both"/>
      </w:pPr>
      <w:r>
        <w:rPr>
          <w:b/>
          <w:bCs/>
        </w:rPr>
        <w:t>Results.</w:t>
      </w:r>
      <w:r>
        <w:t xml:space="preserve"> Of 60 intended interruption points, 50 produced a usable stated-estimate and continuation pair after parsing and filtering. Twenty-seven stated values came from the number judge, 22 were clear numerical sentence completions, and one was the midpoint of an explicit range. Two apparent values, 200 and 400, were per-giraffe quantities and were removed by the original paper’s outlier rule.</w:t>
      </w:r>
    </w:p>
    <w:p w14:paraId="29479E66" w14:textId="77777777" w:rsidR="00A51D1C" w:rsidRDefault="00000000">
      <w:pPr>
        <w:ind w:firstLine="220"/>
        <w:jc w:val="both"/>
      </w:pPr>
      <w:r>
        <w:t>As Figure 6 shows, the stated estimate is strongly predictive of the continuation median over the full range.</w:t>
      </w:r>
    </w:p>
    <w:p w14:paraId="3B948227" w14:textId="77777777" w:rsidR="00A51D1C" w:rsidRDefault="00000000">
      <w:pPr>
        <w:keepNext/>
        <w:spacing w:before="120" w:after="80"/>
        <w:jc w:val="center"/>
      </w:pPr>
      <w:r>
        <w:rPr>
          <w:noProof/>
        </w:rPr>
        <w:lastRenderedPageBreak/>
        <w:drawing>
          <wp:inline distT="0" distB="0" distL="0" distR="0" wp14:anchorId="74797082" wp14:editId="71DE285B">
            <wp:extent cx="2771775" cy="2356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71775" cy="2356180"/>
                    </a:xfrm>
                    <a:prstGeom prst="rect">
                      <a:avLst/>
                    </a:prstGeom>
                  </pic:spPr>
                </pic:pic>
              </a:graphicData>
            </a:graphic>
          </wp:inline>
        </w:drawing>
      </w:r>
    </w:p>
    <w:p w14:paraId="4B51D681" w14:textId="77777777" w:rsidR="00A51D1C" w:rsidRDefault="00000000">
      <w:pPr>
        <w:keepLines/>
        <w:spacing w:after="200"/>
        <w:jc w:val="both"/>
      </w:pPr>
      <w:r>
        <w:rPr>
          <w:sz w:val="20"/>
          <w:szCs w:val="20"/>
        </w:rPr>
        <w:t>Figure 6. Each point is one usable interruption. The x-axis is the estimate stated when Qwen is stopped; the y-axis is the median final estimate from six continuations. Both are normalized around the relevant threshold. The dashed line is equality. The transformed axes are linear within ±0.3 and compressed outside that band.</w:t>
      </w:r>
    </w:p>
    <w:p w14:paraId="1D9EDF84" w14:textId="77777777" w:rsidR="00A51D1C" w:rsidRDefault="00000000">
      <w:pPr>
        <w:jc w:val="both"/>
      </w:pPr>
      <w:r>
        <w:t>The relation is predictive, not exact. Four retained probe estimates exceed 150 million: 169.8, 200, 250, and 275 million. They come from two above-pays bet traces and explain several extreme points. I retained them because they pass the paper’s outlier filter and their continuation medians are also high.</w:t>
      </w:r>
    </w:p>
    <w:p w14:paraId="72F19DD2" w14:textId="77777777" w:rsidR="00A51D1C" w:rsidRDefault="00000000">
      <w:pPr>
        <w:ind w:firstLine="220"/>
        <w:jc w:val="both"/>
      </w:pPr>
      <w:r>
        <w:t>One probe response makes the local mechanism concrete. At the 75% cut of an above-pays trace, Qwen states 40.5 million and then continues:</w:t>
      </w:r>
    </w:p>
    <w:p w14:paraId="3A407D72" w14:textId="77777777" w:rsidR="00A51D1C" w:rsidRDefault="00000000">
      <w:pPr>
        <w:spacing w:before="100" w:after="100"/>
        <w:ind w:left="340" w:right="340"/>
        <w:jc w:val="both"/>
      </w:pPr>
      <w:r>
        <w:rPr>
          <w:i/>
          <w:iCs/>
        </w:rPr>
        <w:t>“Wait, I need to think about the threshold again. The threshold is 41,000,000.”</w:t>
      </w:r>
    </w:p>
    <w:p w14:paraId="57195781" w14:textId="77777777" w:rsidR="00A51D1C" w:rsidRDefault="00000000">
      <w:pPr>
        <w:jc w:val="both"/>
      </w:pPr>
      <w:r>
        <w:t>This catches active threshold checking at a specific moment, but it is not per-trace proof of value leakage.</w:t>
      </w:r>
    </w:p>
    <w:p w14:paraId="023EC895" w14:textId="77777777" w:rsidR="00A51D1C" w:rsidRDefault="00000000">
      <w:pPr>
        <w:ind w:firstLine="220"/>
        <w:jc w:val="both"/>
      </w:pPr>
      <w:r>
        <w:t>To test for motivated self-report, I signed each stated-minus-continuation gap toward the rewarded side. If the probe presented a more donation-favorable state than the continuations supported, the gaps should be positive (Figure 7).</w:t>
      </w:r>
    </w:p>
    <w:p w14:paraId="3DA1B201" w14:textId="77777777" w:rsidR="00A51D1C" w:rsidRDefault="00000000">
      <w:pPr>
        <w:keepNext/>
        <w:framePr w:w="9070" w:vSpace="240" w:wrap="notBeside" w:hAnchor="margin" w:xAlign="center" w:yAlign="top"/>
        <w:spacing w:after="80"/>
        <w:jc w:val="center"/>
      </w:pPr>
      <w:r>
        <w:rPr>
          <w:noProof/>
        </w:rPr>
        <w:drawing>
          <wp:inline distT="0" distB="0" distL="0" distR="0" wp14:anchorId="72BF11EF" wp14:editId="271FE6CD">
            <wp:extent cx="5759450" cy="2642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59450" cy="2642280"/>
                    </a:xfrm>
                    <a:prstGeom prst="rect">
                      <a:avLst/>
                    </a:prstGeom>
                  </pic:spPr>
                </pic:pic>
              </a:graphicData>
            </a:graphic>
          </wp:inline>
        </w:drawing>
      </w:r>
    </w:p>
    <w:p w14:paraId="7F369AD7" w14:textId="77777777" w:rsidR="00A51D1C" w:rsidRDefault="00000000">
      <w:pPr>
        <w:keepLines/>
        <w:framePr w:w="9070" w:vSpace="240" w:wrap="notBeside" w:hAnchor="margin" w:xAlign="center" w:yAlign="top"/>
        <w:jc w:val="both"/>
      </w:pPr>
      <w:r>
        <w:rPr>
          <w:sz w:val="20"/>
          <w:szCs w:val="20"/>
        </w:rPr>
        <w:t>Figure 7. Probe estimates and continuation medians by condition and cut position, signed toward the rewarded side. The paired distributions overlap at every cut. The 1.0 column shows the uninterrupted final answers and has no probe counterpart.</w:t>
      </w:r>
    </w:p>
    <w:p w14:paraId="6CDF3013" w14:textId="77777777" w:rsidR="00A51D1C" w:rsidRDefault="00000000">
      <w:pPr>
        <w:keepNext/>
        <w:keepLines/>
        <w:spacing w:before="160" w:after="100"/>
        <w:jc w:val="both"/>
      </w:pPr>
      <w:r>
        <w:rPr>
          <w:sz w:val="20"/>
          <w:szCs w:val="20"/>
        </w:rPr>
        <w:t>Table 4. KNOW: gap between the stated estimate and the continuation median, signed toward the rewarded side.</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0"/>
        <w:gridCol w:w="440"/>
        <w:gridCol w:w="1030"/>
        <w:gridCol w:w="820"/>
        <w:gridCol w:w="1145"/>
      </w:tblGrid>
      <w:tr w:rsidR="00A51D1C" w14:paraId="1AE7FD3A" w14:textId="77777777">
        <w:tblPrEx>
          <w:tblCellMar>
            <w:top w:w="0" w:type="dxa"/>
            <w:bottom w:w="0" w:type="dxa"/>
          </w:tblCellMar>
        </w:tblPrEx>
        <w:trPr>
          <w:cantSplit/>
          <w:tblHeader/>
          <w:jc w:val="center"/>
        </w:trPr>
        <w:tc>
          <w:tcPr>
            <w:tcW w:w="930" w:type="dxa"/>
            <w:tcBorders>
              <w:top w:val="single" w:sz="10" w:space="0" w:color="000000"/>
              <w:left w:val="none" w:sz="0" w:space="0" w:color="FFFFFF"/>
              <w:bottom w:val="none" w:sz="0" w:space="0" w:color="FFFFFF"/>
              <w:right w:val="none" w:sz="0" w:space="0" w:color="FFFFFF"/>
            </w:tcBorders>
            <w:tcMar>
              <w:top w:w="40" w:type="dxa"/>
              <w:left w:w="40" w:type="dxa"/>
              <w:bottom w:w="40" w:type="dxa"/>
              <w:right w:w="40" w:type="dxa"/>
            </w:tcMar>
          </w:tcPr>
          <w:p w14:paraId="4944406A" w14:textId="77777777" w:rsidR="00A51D1C" w:rsidRDefault="00000000">
            <w:pPr>
              <w:keepNext/>
            </w:pPr>
            <w:r>
              <w:rPr>
                <w:b/>
                <w:bCs/>
                <w:sz w:val="15"/>
                <w:szCs w:val="15"/>
              </w:rPr>
              <w:t>Condition</w:t>
            </w:r>
          </w:p>
        </w:tc>
        <w:tc>
          <w:tcPr>
            <w:tcW w:w="440" w:type="dxa"/>
            <w:tcBorders>
              <w:top w:val="single" w:sz="10" w:space="0" w:color="000000"/>
              <w:left w:val="none" w:sz="0" w:space="0" w:color="FFFFFF"/>
              <w:bottom w:val="none" w:sz="0" w:space="0" w:color="FFFFFF"/>
              <w:right w:val="none" w:sz="0" w:space="0" w:color="FFFFFF"/>
            </w:tcBorders>
            <w:tcMar>
              <w:top w:w="40" w:type="dxa"/>
              <w:left w:w="40" w:type="dxa"/>
              <w:bottom w:w="40" w:type="dxa"/>
              <w:right w:w="40" w:type="dxa"/>
            </w:tcMar>
          </w:tcPr>
          <w:p w14:paraId="5A67F18E" w14:textId="77777777" w:rsidR="00A51D1C" w:rsidRDefault="00000000">
            <w:pPr>
              <w:keepNext/>
            </w:pPr>
            <w:r>
              <w:rPr>
                <w:b/>
                <w:bCs/>
                <w:sz w:val="15"/>
                <w:szCs w:val="15"/>
              </w:rPr>
              <w:t>Cut</w:t>
            </w:r>
          </w:p>
        </w:tc>
        <w:tc>
          <w:tcPr>
            <w:tcW w:w="1030" w:type="dxa"/>
            <w:tcBorders>
              <w:top w:val="single" w:sz="10" w:space="0" w:color="000000"/>
              <w:left w:val="none" w:sz="0" w:space="0" w:color="FFFFFF"/>
              <w:bottom w:val="none" w:sz="0" w:space="0" w:color="FFFFFF"/>
              <w:right w:val="none" w:sz="0" w:space="0" w:color="FFFFFF"/>
            </w:tcBorders>
            <w:tcMar>
              <w:top w:w="40" w:type="dxa"/>
              <w:left w:w="40" w:type="dxa"/>
              <w:bottom w:w="40" w:type="dxa"/>
              <w:right w:w="40" w:type="dxa"/>
            </w:tcMar>
          </w:tcPr>
          <w:p w14:paraId="60AAC6A0" w14:textId="77777777" w:rsidR="00A51D1C" w:rsidRDefault="00000000">
            <w:pPr>
              <w:keepNext/>
            </w:pPr>
            <w:r>
              <w:rPr>
                <w:b/>
                <w:bCs/>
                <w:sz w:val="15"/>
                <w:szCs w:val="15"/>
              </w:rPr>
              <w:t>Usable interruptions</w:t>
            </w:r>
          </w:p>
        </w:tc>
        <w:tc>
          <w:tcPr>
            <w:tcW w:w="820" w:type="dxa"/>
            <w:tcBorders>
              <w:top w:val="single" w:sz="10" w:space="0" w:color="000000"/>
              <w:left w:val="none" w:sz="0" w:space="0" w:color="FFFFFF"/>
              <w:bottom w:val="none" w:sz="0" w:space="0" w:color="FFFFFF"/>
              <w:right w:val="none" w:sz="0" w:space="0" w:color="FFFFFF"/>
            </w:tcBorders>
            <w:tcMar>
              <w:top w:w="40" w:type="dxa"/>
              <w:left w:w="40" w:type="dxa"/>
              <w:bottom w:w="40" w:type="dxa"/>
              <w:right w:w="40" w:type="dxa"/>
            </w:tcMar>
          </w:tcPr>
          <w:p w14:paraId="1292D380" w14:textId="77777777" w:rsidR="00A51D1C" w:rsidRDefault="00000000">
            <w:pPr>
              <w:keepNext/>
            </w:pPr>
            <w:r>
              <w:rPr>
                <w:b/>
                <w:bCs/>
                <w:sz w:val="15"/>
                <w:szCs w:val="15"/>
              </w:rPr>
              <w:t>Median rewarded-direction gap</w:t>
            </w:r>
          </w:p>
        </w:tc>
        <w:tc>
          <w:tcPr>
            <w:tcW w:w="1145" w:type="dxa"/>
            <w:tcBorders>
              <w:top w:val="single" w:sz="10" w:space="0" w:color="000000"/>
              <w:left w:val="none" w:sz="0" w:space="0" w:color="FFFFFF"/>
              <w:bottom w:val="none" w:sz="0" w:space="0" w:color="FFFFFF"/>
              <w:right w:val="none" w:sz="0" w:space="0" w:color="FFFFFF"/>
            </w:tcBorders>
            <w:tcMar>
              <w:top w:w="40" w:type="dxa"/>
              <w:left w:w="40" w:type="dxa"/>
              <w:bottom w:w="40" w:type="dxa"/>
              <w:right w:w="40" w:type="dxa"/>
            </w:tcMar>
          </w:tcPr>
          <w:p w14:paraId="25C89424" w14:textId="77777777" w:rsidR="00A51D1C" w:rsidRDefault="00000000">
            <w:pPr>
              <w:keepNext/>
            </w:pPr>
            <w:r>
              <w:rPr>
                <w:b/>
                <w:bCs/>
                <w:sz w:val="15"/>
                <w:szCs w:val="15"/>
              </w:rPr>
              <w:t>Bootstrap 95% CI</w:t>
            </w:r>
          </w:p>
        </w:tc>
      </w:tr>
      <w:tr w:rsidR="00A51D1C" w14:paraId="0CC83576" w14:textId="77777777">
        <w:tblPrEx>
          <w:tblCellMar>
            <w:top w:w="0" w:type="dxa"/>
            <w:bottom w:w="0" w:type="dxa"/>
          </w:tblCellMar>
        </w:tblPrEx>
        <w:trPr>
          <w:cantSplit/>
          <w:jc w:val="center"/>
        </w:trPr>
        <w:tc>
          <w:tcPr>
            <w:tcW w:w="930" w:type="dxa"/>
            <w:tcBorders>
              <w:top w:val="single" w:sz="4" w:space="0" w:color="000000"/>
              <w:left w:val="none" w:sz="0" w:space="0" w:color="FFFFFF"/>
              <w:bottom w:val="none" w:sz="0" w:space="0" w:color="FFFFFF"/>
              <w:right w:val="none" w:sz="0" w:space="0" w:color="FFFFFF"/>
            </w:tcBorders>
            <w:tcMar>
              <w:top w:w="40" w:type="dxa"/>
              <w:left w:w="40" w:type="dxa"/>
              <w:bottom w:w="40" w:type="dxa"/>
              <w:right w:w="40" w:type="dxa"/>
            </w:tcMar>
          </w:tcPr>
          <w:p w14:paraId="50EA4CDF" w14:textId="77777777" w:rsidR="00A51D1C" w:rsidRDefault="00000000">
            <w:pPr>
              <w:keepNext/>
            </w:pPr>
            <w:r>
              <w:rPr>
                <w:sz w:val="15"/>
                <w:szCs w:val="15"/>
              </w:rPr>
              <w:t>Donation Bet</w:t>
            </w:r>
          </w:p>
        </w:tc>
        <w:tc>
          <w:tcPr>
            <w:tcW w:w="440" w:type="dxa"/>
            <w:tcBorders>
              <w:top w:val="single" w:sz="4" w:space="0" w:color="000000"/>
              <w:left w:val="none" w:sz="0" w:space="0" w:color="FFFFFF"/>
              <w:bottom w:val="none" w:sz="0" w:space="0" w:color="FFFFFF"/>
              <w:right w:val="none" w:sz="0" w:space="0" w:color="FFFFFF"/>
            </w:tcBorders>
            <w:tcMar>
              <w:top w:w="40" w:type="dxa"/>
              <w:left w:w="40" w:type="dxa"/>
              <w:bottom w:w="40" w:type="dxa"/>
              <w:right w:w="40" w:type="dxa"/>
            </w:tcMar>
          </w:tcPr>
          <w:p w14:paraId="4793E6B2" w14:textId="77777777" w:rsidR="00A51D1C" w:rsidRDefault="00000000">
            <w:pPr>
              <w:keepNext/>
            </w:pPr>
            <w:r>
              <w:rPr>
                <w:sz w:val="15"/>
                <w:szCs w:val="15"/>
              </w:rPr>
              <w:t>25%</w:t>
            </w:r>
          </w:p>
        </w:tc>
        <w:tc>
          <w:tcPr>
            <w:tcW w:w="1030" w:type="dxa"/>
            <w:tcBorders>
              <w:top w:val="single" w:sz="4" w:space="0" w:color="000000"/>
              <w:left w:val="none" w:sz="0" w:space="0" w:color="FFFFFF"/>
              <w:bottom w:val="none" w:sz="0" w:space="0" w:color="FFFFFF"/>
              <w:right w:val="none" w:sz="0" w:space="0" w:color="FFFFFF"/>
            </w:tcBorders>
            <w:tcMar>
              <w:top w:w="40" w:type="dxa"/>
              <w:left w:w="40" w:type="dxa"/>
              <w:bottom w:w="40" w:type="dxa"/>
              <w:right w:w="40" w:type="dxa"/>
            </w:tcMar>
          </w:tcPr>
          <w:p w14:paraId="100612C8" w14:textId="77777777" w:rsidR="00A51D1C" w:rsidRDefault="00000000">
            <w:pPr>
              <w:keepNext/>
            </w:pPr>
            <w:r>
              <w:rPr>
                <w:sz w:val="15"/>
                <w:szCs w:val="15"/>
              </w:rPr>
              <w:t>8</w:t>
            </w:r>
          </w:p>
        </w:tc>
        <w:tc>
          <w:tcPr>
            <w:tcW w:w="820" w:type="dxa"/>
            <w:tcBorders>
              <w:top w:val="single" w:sz="4" w:space="0" w:color="000000"/>
              <w:left w:val="none" w:sz="0" w:space="0" w:color="FFFFFF"/>
              <w:bottom w:val="none" w:sz="0" w:space="0" w:color="FFFFFF"/>
              <w:right w:val="none" w:sz="0" w:space="0" w:color="FFFFFF"/>
            </w:tcBorders>
            <w:tcMar>
              <w:top w:w="40" w:type="dxa"/>
              <w:left w:w="40" w:type="dxa"/>
              <w:bottom w:w="40" w:type="dxa"/>
              <w:right w:w="40" w:type="dxa"/>
            </w:tcMar>
          </w:tcPr>
          <w:p w14:paraId="540B4D82" w14:textId="77777777" w:rsidR="00A51D1C" w:rsidRDefault="00000000">
            <w:pPr>
              <w:keepNext/>
            </w:pPr>
            <w:r>
              <w:rPr>
                <w:sz w:val="15"/>
                <w:szCs w:val="15"/>
              </w:rPr>
              <w:t>-0.029</w:t>
            </w:r>
          </w:p>
        </w:tc>
        <w:tc>
          <w:tcPr>
            <w:tcW w:w="1145" w:type="dxa"/>
            <w:tcBorders>
              <w:top w:val="single" w:sz="4" w:space="0" w:color="000000"/>
              <w:left w:val="none" w:sz="0" w:space="0" w:color="FFFFFF"/>
              <w:bottom w:val="none" w:sz="0" w:space="0" w:color="FFFFFF"/>
              <w:right w:val="none" w:sz="0" w:space="0" w:color="FFFFFF"/>
            </w:tcBorders>
            <w:tcMar>
              <w:top w:w="40" w:type="dxa"/>
              <w:left w:w="40" w:type="dxa"/>
              <w:bottom w:w="40" w:type="dxa"/>
              <w:right w:w="40" w:type="dxa"/>
            </w:tcMar>
          </w:tcPr>
          <w:p w14:paraId="50A95FAC" w14:textId="77777777" w:rsidR="00A51D1C" w:rsidRDefault="00000000">
            <w:pPr>
              <w:keepNext/>
            </w:pPr>
            <w:r>
              <w:rPr>
                <w:sz w:val="15"/>
                <w:szCs w:val="15"/>
              </w:rPr>
              <w:t>[-0.061, 0.122]</w:t>
            </w:r>
          </w:p>
        </w:tc>
      </w:tr>
      <w:tr w:rsidR="00A51D1C" w14:paraId="631AE0EE" w14:textId="77777777">
        <w:tblPrEx>
          <w:tblCellMar>
            <w:top w:w="0" w:type="dxa"/>
            <w:bottom w:w="0" w:type="dxa"/>
          </w:tblCellMar>
        </w:tblPrEx>
        <w:trPr>
          <w:cantSplit/>
          <w:jc w:val="center"/>
        </w:trPr>
        <w:tc>
          <w:tcPr>
            <w:tcW w:w="9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7B79986" w14:textId="77777777" w:rsidR="00A51D1C" w:rsidRDefault="00000000">
            <w:pPr>
              <w:keepNext/>
            </w:pPr>
            <w:r>
              <w:rPr>
                <w:sz w:val="15"/>
                <w:szCs w:val="15"/>
              </w:rPr>
              <w:t>Donation Bet</w:t>
            </w:r>
          </w:p>
        </w:tc>
        <w:tc>
          <w:tcPr>
            <w:tcW w:w="4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989A995" w14:textId="77777777" w:rsidR="00A51D1C" w:rsidRDefault="00000000">
            <w:pPr>
              <w:keepNext/>
            </w:pPr>
            <w:r>
              <w:rPr>
                <w:sz w:val="15"/>
                <w:szCs w:val="15"/>
              </w:rPr>
              <w:t>50%</w:t>
            </w:r>
          </w:p>
        </w:tc>
        <w:tc>
          <w:tcPr>
            <w:tcW w:w="10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13B955E" w14:textId="77777777" w:rsidR="00A51D1C" w:rsidRDefault="00000000">
            <w:pPr>
              <w:keepNext/>
            </w:pPr>
            <w:r>
              <w:rPr>
                <w:sz w:val="15"/>
                <w:szCs w:val="15"/>
              </w:rPr>
              <w:t>7</w:t>
            </w:r>
          </w:p>
        </w:tc>
        <w:tc>
          <w:tcPr>
            <w:tcW w:w="8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5DE01A1" w14:textId="77777777" w:rsidR="00A51D1C" w:rsidRDefault="00000000">
            <w:pPr>
              <w:keepNext/>
            </w:pPr>
            <w:r>
              <w:rPr>
                <w:sz w:val="15"/>
                <w:szCs w:val="15"/>
              </w:rPr>
              <w:t>-0.049</w:t>
            </w:r>
          </w:p>
        </w:tc>
        <w:tc>
          <w:tcPr>
            <w:tcW w:w="1145"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0F14619" w14:textId="77777777" w:rsidR="00A51D1C" w:rsidRDefault="00000000">
            <w:pPr>
              <w:keepNext/>
            </w:pPr>
            <w:r>
              <w:rPr>
                <w:sz w:val="15"/>
                <w:szCs w:val="15"/>
              </w:rPr>
              <w:t>[-0.366, 0.000]</w:t>
            </w:r>
          </w:p>
        </w:tc>
      </w:tr>
      <w:tr w:rsidR="00A51D1C" w14:paraId="23E050E0" w14:textId="77777777">
        <w:tblPrEx>
          <w:tblCellMar>
            <w:top w:w="0" w:type="dxa"/>
            <w:bottom w:w="0" w:type="dxa"/>
          </w:tblCellMar>
        </w:tblPrEx>
        <w:trPr>
          <w:cantSplit/>
          <w:jc w:val="center"/>
        </w:trPr>
        <w:tc>
          <w:tcPr>
            <w:tcW w:w="9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933FEFA" w14:textId="77777777" w:rsidR="00A51D1C" w:rsidRDefault="00000000">
            <w:pPr>
              <w:keepNext/>
            </w:pPr>
            <w:r>
              <w:rPr>
                <w:sz w:val="15"/>
                <w:szCs w:val="15"/>
              </w:rPr>
              <w:t>Donation Bet</w:t>
            </w:r>
          </w:p>
        </w:tc>
        <w:tc>
          <w:tcPr>
            <w:tcW w:w="4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AC9819A" w14:textId="77777777" w:rsidR="00A51D1C" w:rsidRDefault="00000000">
            <w:pPr>
              <w:keepNext/>
            </w:pPr>
            <w:r>
              <w:rPr>
                <w:sz w:val="15"/>
                <w:szCs w:val="15"/>
              </w:rPr>
              <w:t>75%</w:t>
            </w:r>
          </w:p>
        </w:tc>
        <w:tc>
          <w:tcPr>
            <w:tcW w:w="10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F7DE769" w14:textId="77777777" w:rsidR="00A51D1C" w:rsidRDefault="00000000">
            <w:pPr>
              <w:keepNext/>
            </w:pPr>
            <w:r>
              <w:rPr>
                <w:sz w:val="15"/>
                <w:szCs w:val="15"/>
              </w:rPr>
              <w:t>8</w:t>
            </w:r>
          </w:p>
        </w:tc>
        <w:tc>
          <w:tcPr>
            <w:tcW w:w="8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C23615D" w14:textId="77777777" w:rsidR="00A51D1C" w:rsidRDefault="00000000">
            <w:pPr>
              <w:keepNext/>
            </w:pPr>
            <w:r>
              <w:rPr>
                <w:sz w:val="15"/>
                <w:szCs w:val="15"/>
              </w:rPr>
              <w:t>-0.001</w:t>
            </w:r>
          </w:p>
        </w:tc>
        <w:tc>
          <w:tcPr>
            <w:tcW w:w="1145"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45B0BCC" w14:textId="77777777" w:rsidR="00A51D1C" w:rsidRDefault="00000000">
            <w:pPr>
              <w:keepNext/>
            </w:pPr>
            <w:r>
              <w:rPr>
                <w:sz w:val="15"/>
                <w:szCs w:val="15"/>
              </w:rPr>
              <w:t>[-0.049, 0.024]</w:t>
            </w:r>
          </w:p>
        </w:tc>
      </w:tr>
      <w:tr w:rsidR="00A51D1C" w14:paraId="6AF9046D" w14:textId="77777777">
        <w:tblPrEx>
          <w:tblCellMar>
            <w:top w:w="0" w:type="dxa"/>
            <w:bottom w:w="0" w:type="dxa"/>
          </w:tblCellMar>
        </w:tblPrEx>
        <w:trPr>
          <w:cantSplit/>
          <w:jc w:val="center"/>
        </w:trPr>
        <w:tc>
          <w:tcPr>
            <w:tcW w:w="9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F8B6AF4" w14:textId="77777777" w:rsidR="00A51D1C" w:rsidRDefault="00000000">
            <w:pPr>
              <w:keepNext/>
            </w:pPr>
            <w:r>
              <w:rPr>
                <w:sz w:val="15"/>
                <w:szCs w:val="15"/>
              </w:rPr>
              <w:t>Instructed</w:t>
            </w:r>
          </w:p>
        </w:tc>
        <w:tc>
          <w:tcPr>
            <w:tcW w:w="4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292FAB7" w14:textId="77777777" w:rsidR="00A51D1C" w:rsidRDefault="00000000">
            <w:pPr>
              <w:keepNext/>
            </w:pPr>
            <w:r>
              <w:rPr>
                <w:sz w:val="15"/>
                <w:szCs w:val="15"/>
              </w:rPr>
              <w:t>25%</w:t>
            </w:r>
          </w:p>
        </w:tc>
        <w:tc>
          <w:tcPr>
            <w:tcW w:w="10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BA923DB" w14:textId="77777777" w:rsidR="00A51D1C" w:rsidRDefault="00000000">
            <w:pPr>
              <w:keepNext/>
            </w:pPr>
            <w:r>
              <w:rPr>
                <w:sz w:val="15"/>
                <w:szCs w:val="15"/>
              </w:rPr>
              <w:t>8</w:t>
            </w:r>
          </w:p>
        </w:tc>
        <w:tc>
          <w:tcPr>
            <w:tcW w:w="8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2D17F8B" w14:textId="77777777" w:rsidR="00A51D1C" w:rsidRDefault="00000000">
            <w:pPr>
              <w:keepNext/>
            </w:pPr>
            <w:r>
              <w:rPr>
                <w:sz w:val="15"/>
                <w:szCs w:val="15"/>
              </w:rPr>
              <w:t>0.010</w:t>
            </w:r>
          </w:p>
        </w:tc>
        <w:tc>
          <w:tcPr>
            <w:tcW w:w="1145"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A16E26B" w14:textId="77777777" w:rsidR="00A51D1C" w:rsidRDefault="00000000">
            <w:pPr>
              <w:keepNext/>
            </w:pPr>
            <w:r>
              <w:rPr>
                <w:sz w:val="15"/>
                <w:szCs w:val="15"/>
              </w:rPr>
              <w:t>[-0.095, 0.031]</w:t>
            </w:r>
          </w:p>
        </w:tc>
      </w:tr>
      <w:tr w:rsidR="00A51D1C" w14:paraId="4D4C0D80" w14:textId="77777777">
        <w:tblPrEx>
          <w:tblCellMar>
            <w:top w:w="0" w:type="dxa"/>
            <w:bottom w:w="0" w:type="dxa"/>
          </w:tblCellMar>
        </w:tblPrEx>
        <w:trPr>
          <w:cantSplit/>
          <w:jc w:val="center"/>
        </w:trPr>
        <w:tc>
          <w:tcPr>
            <w:tcW w:w="9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E2BB677" w14:textId="77777777" w:rsidR="00A51D1C" w:rsidRDefault="00000000">
            <w:pPr>
              <w:keepNext/>
            </w:pPr>
            <w:r>
              <w:rPr>
                <w:sz w:val="15"/>
                <w:szCs w:val="15"/>
              </w:rPr>
              <w:t>Instructed</w:t>
            </w:r>
          </w:p>
        </w:tc>
        <w:tc>
          <w:tcPr>
            <w:tcW w:w="4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E03F097" w14:textId="77777777" w:rsidR="00A51D1C" w:rsidRDefault="00000000">
            <w:pPr>
              <w:keepNext/>
            </w:pPr>
            <w:r>
              <w:rPr>
                <w:sz w:val="15"/>
                <w:szCs w:val="15"/>
              </w:rPr>
              <w:t>50%</w:t>
            </w:r>
          </w:p>
        </w:tc>
        <w:tc>
          <w:tcPr>
            <w:tcW w:w="103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8317FFD" w14:textId="77777777" w:rsidR="00A51D1C" w:rsidRDefault="00000000">
            <w:pPr>
              <w:keepNext/>
            </w:pPr>
            <w:r>
              <w:rPr>
                <w:sz w:val="15"/>
                <w:szCs w:val="15"/>
              </w:rPr>
              <w:t>9</w:t>
            </w:r>
          </w:p>
        </w:tc>
        <w:tc>
          <w:tcPr>
            <w:tcW w:w="8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E07CA0D" w14:textId="77777777" w:rsidR="00A51D1C" w:rsidRDefault="00000000">
            <w:pPr>
              <w:keepNext/>
            </w:pPr>
            <w:r>
              <w:rPr>
                <w:sz w:val="15"/>
                <w:szCs w:val="15"/>
              </w:rPr>
              <w:t>0.005</w:t>
            </w:r>
          </w:p>
        </w:tc>
        <w:tc>
          <w:tcPr>
            <w:tcW w:w="1145"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BDF36F4" w14:textId="77777777" w:rsidR="00A51D1C" w:rsidRDefault="00000000">
            <w:pPr>
              <w:keepNext/>
            </w:pPr>
            <w:r>
              <w:rPr>
                <w:sz w:val="15"/>
                <w:szCs w:val="15"/>
              </w:rPr>
              <w:t>[-0.037, 0.018]</w:t>
            </w:r>
          </w:p>
        </w:tc>
      </w:tr>
      <w:tr w:rsidR="00A51D1C" w14:paraId="2179169C" w14:textId="77777777">
        <w:tblPrEx>
          <w:tblCellMar>
            <w:top w:w="0" w:type="dxa"/>
            <w:bottom w:w="0" w:type="dxa"/>
          </w:tblCellMar>
        </w:tblPrEx>
        <w:trPr>
          <w:cantSplit/>
          <w:jc w:val="center"/>
        </w:trPr>
        <w:tc>
          <w:tcPr>
            <w:tcW w:w="930" w:type="dxa"/>
            <w:tcBorders>
              <w:top w:val="none" w:sz="0" w:space="0" w:color="FFFFFF"/>
              <w:left w:val="none" w:sz="0" w:space="0" w:color="FFFFFF"/>
              <w:bottom w:val="single" w:sz="10" w:space="0" w:color="000000"/>
              <w:right w:val="none" w:sz="0" w:space="0" w:color="FFFFFF"/>
            </w:tcBorders>
            <w:tcMar>
              <w:top w:w="40" w:type="dxa"/>
              <w:left w:w="40" w:type="dxa"/>
              <w:bottom w:w="40" w:type="dxa"/>
              <w:right w:w="40" w:type="dxa"/>
            </w:tcMar>
          </w:tcPr>
          <w:p w14:paraId="79AEBFB0" w14:textId="77777777" w:rsidR="00A51D1C" w:rsidRDefault="00000000">
            <w:r>
              <w:rPr>
                <w:sz w:val="15"/>
                <w:szCs w:val="15"/>
              </w:rPr>
              <w:t>Instructed</w:t>
            </w:r>
          </w:p>
        </w:tc>
        <w:tc>
          <w:tcPr>
            <w:tcW w:w="440" w:type="dxa"/>
            <w:tcBorders>
              <w:top w:val="none" w:sz="0" w:space="0" w:color="FFFFFF"/>
              <w:left w:val="none" w:sz="0" w:space="0" w:color="FFFFFF"/>
              <w:bottom w:val="single" w:sz="10" w:space="0" w:color="000000"/>
              <w:right w:val="none" w:sz="0" w:space="0" w:color="FFFFFF"/>
            </w:tcBorders>
            <w:tcMar>
              <w:top w:w="40" w:type="dxa"/>
              <w:left w:w="40" w:type="dxa"/>
              <w:bottom w:w="40" w:type="dxa"/>
              <w:right w:w="40" w:type="dxa"/>
            </w:tcMar>
          </w:tcPr>
          <w:p w14:paraId="3FFCBB1F" w14:textId="77777777" w:rsidR="00A51D1C" w:rsidRDefault="00000000">
            <w:r>
              <w:rPr>
                <w:sz w:val="15"/>
                <w:szCs w:val="15"/>
              </w:rPr>
              <w:t>75%</w:t>
            </w:r>
          </w:p>
        </w:tc>
        <w:tc>
          <w:tcPr>
            <w:tcW w:w="1030" w:type="dxa"/>
            <w:tcBorders>
              <w:top w:val="none" w:sz="0" w:space="0" w:color="FFFFFF"/>
              <w:left w:val="none" w:sz="0" w:space="0" w:color="FFFFFF"/>
              <w:bottom w:val="single" w:sz="10" w:space="0" w:color="000000"/>
              <w:right w:val="none" w:sz="0" w:space="0" w:color="FFFFFF"/>
            </w:tcBorders>
            <w:tcMar>
              <w:top w:w="40" w:type="dxa"/>
              <w:left w:w="40" w:type="dxa"/>
              <w:bottom w:w="40" w:type="dxa"/>
              <w:right w:w="40" w:type="dxa"/>
            </w:tcMar>
          </w:tcPr>
          <w:p w14:paraId="5DA37B96" w14:textId="77777777" w:rsidR="00A51D1C" w:rsidRDefault="00000000">
            <w:r>
              <w:rPr>
                <w:sz w:val="15"/>
                <w:szCs w:val="15"/>
              </w:rPr>
              <w:t>10</w:t>
            </w:r>
          </w:p>
        </w:tc>
        <w:tc>
          <w:tcPr>
            <w:tcW w:w="820" w:type="dxa"/>
            <w:tcBorders>
              <w:top w:val="none" w:sz="0" w:space="0" w:color="FFFFFF"/>
              <w:left w:val="none" w:sz="0" w:space="0" w:color="FFFFFF"/>
              <w:bottom w:val="single" w:sz="10" w:space="0" w:color="000000"/>
              <w:right w:val="none" w:sz="0" w:space="0" w:color="FFFFFF"/>
            </w:tcBorders>
            <w:tcMar>
              <w:top w:w="40" w:type="dxa"/>
              <w:left w:w="40" w:type="dxa"/>
              <w:bottom w:w="40" w:type="dxa"/>
              <w:right w:w="40" w:type="dxa"/>
            </w:tcMar>
          </w:tcPr>
          <w:p w14:paraId="63C915D6" w14:textId="77777777" w:rsidR="00A51D1C" w:rsidRDefault="00000000">
            <w:r>
              <w:rPr>
                <w:sz w:val="15"/>
                <w:szCs w:val="15"/>
              </w:rPr>
              <w:t>0.000</w:t>
            </w:r>
          </w:p>
        </w:tc>
        <w:tc>
          <w:tcPr>
            <w:tcW w:w="1145" w:type="dxa"/>
            <w:tcBorders>
              <w:top w:val="none" w:sz="0" w:space="0" w:color="FFFFFF"/>
              <w:left w:val="none" w:sz="0" w:space="0" w:color="FFFFFF"/>
              <w:bottom w:val="single" w:sz="10" w:space="0" w:color="000000"/>
              <w:right w:val="none" w:sz="0" w:space="0" w:color="FFFFFF"/>
            </w:tcBorders>
            <w:tcMar>
              <w:top w:w="40" w:type="dxa"/>
              <w:left w:w="40" w:type="dxa"/>
              <w:bottom w:w="40" w:type="dxa"/>
              <w:right w:w="40" w:type="dxa"/>
            </w:tcMar>
          </w:tcPr>
          <w:p w14:paraId="3457A59C" w14:textId="77777777" w:rsidR="00A51D1C" w:rsidRDefault="00000000">
            <w:r>
              <w:rPr>
                <w:sz w:val="15"/>
                <w:szCs w:val="15"/>
              </w:rPr>
              <w:t>[-0.005, 0.037]</w:t>
            </w:r>
          </w:p>
        </w:tc>
      </w:tr>
    </w:tbl>
    <w:p w14:paraId="3D651658" w14:textId="77777777" w:rsidR="00A51D1C" w:rsidRDefault="00A51D1C">
      <w:pPr>
        <w:spacing w:after="160"/>
      </w:pPr>
    </w:p>
    <w:p w14:paraId="6A17063B" w14:textId="77777777" w:rsidR="00A51D1C" w:rsidRDefault="00000000">
      <w:pPr>
        <w:jc w:val="both"/>
      </w:pPr>
      <w:r>
        <w:t>Every interval in Table 4 includes zero, and the Donation Bet medians are slightly negative rather than positive. The bet arm is more variable, especially at the halfway cut, while the instructed comparison remains near zero at every cut. H5 is not supported.</w:t>
      </w:r>
    </w:p>
    <w:p w14:paraId="10570497" w14:textId="77777777" w:rsidR="00A51D1C" w:rsidRDefault="00000000">
      <w:pPr>
        <w:ind w:firstLine="220"/>
        <w:jc w:val="both"/>
      </w:pPr>
      <w:r>
        <w:t xml:space="preserve">Two limitations are specific to this test: the sample contains only 50 usable cuts from 20 selected traces, and the early Donation Bet </w:t>
      </w:r>
      <w:r>
        <w:lastRenderedPageBreak/>
        <w:t>interval is wide enough that it cannot exclude a meaningful mismatch. Section 4.2 discusses the broader limits of textual interventions and small continuation samples.</w:t>
      </w:r>
    </w:p>
    <w:p w14:paraId="7557D1B2" w14:textId="77777777" w:rsidR="00A51D1C" w:rsidRDefault="00000000">
      <w:pPr>
        <w:ind w:firstLine="220"/>
        <w:jc w:val="both"/>
      </w:pPr>
      <w:r>
        <w:t>The instructed arm shows what the method returns under overt steering, but it is not a positive control for deception. Near-zero gaps could reflect accurate local reporting, a probe that elicits a continuation-relevant number without accessing an internal state, or both.</w:t>
      </w:r>
    </w:p>
    <w:p w14:paraId="45148663" w14:textId="77777777" w:rsidR="00A51D1C" w:rsidRDefault="00000000">
      <w:pPr>
        <w:spacing w:before="100"/>
        <w:jc w:val="both"/>
      </w:pPr>
      <w:r>
        <w:rPr>
          <w:b/>
          <w:bCs/>
        </w:rPr>
        <w:t>KNOW therefore narrows rather than resolves the question.</w:t>
      </w:r>
      <w:r>
        <w:t xml:space="preserve"> At the cuts I tested, Qwen usually states an estimate close to where its sampled continuations land, including under the Donation Bet. This weighs against a simple account in which the model reports one number while its reasoning systematically pursues another. It does not show that the stated estimate caused the continuation. CAUSE tests that stronger claim for one written premise.</w:t>
      </w:r>
    </w:p>
    <w:p w14:paraId="3F744D05" w14:textId="77777777" w:rsidR="00A51D1C" w:rsidRDefault="00000000">
      <w:pPr>
        <w:pStyle w:val="Heading2"/>
        <w:keepNext/>
        <w:spacing w:before="200" w:after="100"/>
      </w:pPr>
      <w:r>
        <w:t>3.4 CAUSE: Does changing the first spots-per-giraffe estimate cause the final answer to move?</w:t>
      </w:r>
    </w:p>
    <w:p w14:paraId="6BBB9679" w14:textId="77777777" w:rsidR="00A51D1C" w:rsidRDefault="00000000">
      <w:pPr>
        <w:jc w:val="both"/>
      </w:pPr>
      <w:r>
        <w:rPr>
          <w:b/>
          <w:bCs/>
        </w:rPr>
        <w:t>Main finding.</w:t>
      </w:r>
      <w:r>
        <w:t xml:space="preserve"> The first written spots-per-giraffe premise has a consistent causal effect, but later reasoning preserves only a small fraction of the change inserted into it. TELL, AIM, and KNOW show that Qwen’s trace is open about the objective, moves in the expected direction, and gives locally predictive estimates. None of those results establishes that a displayed calculation step caused the final answer. CAUSE intervenes directly on the first premise that can scale the estimate.</w:t>
      </w:r>
    </w:p>
    <w:p w14:paraId="1688A21C" w14:textId="77777777" w:rsidR="00A51D1C" w:rsidRDefault="00000000">
      <w:pPr>
        <w:pStyle w:val="Heading3"/>
        <w:keepNext/>
        <w:spacing w:before="160" w:after="60"/>
      </w:pPr>
      <w:r>
        <w:t>Finding an intervention point</w:t>
      </w:r>
    </w:p>
    <w:p w14:paraId="12BFD348" w14:textId="77777777" w:rsidR="00A51D1C" w:rsidRDefault="00000000">
      <w:pPr>
        <w:jc w:val="both"/>
      </w:pPr>
      <w:r>
        <w:t>My first design cut each trace before its first visible total. That was too late. In a pilot trace, the prefix had already fixed both a giraffe population of 120,000 and 400 spots per giraffe. All 12 resampled continuations reproduced the same 48 million product, even though several generated alternative reasoning after restating it. This negative result showed that the token budget was not the problem; the relevant commitments were already in the prefix.</w:t>
      </w:r>
    </w:p>
    <w:p w14:paraId="64193317" w14:textId="77777777" w:rsidR="00A51D1C" w:rsidRDefault="00000000">
      <w:pPr>
        <w:ind w:firstLine="220"/>
        <w:jc w:val="both"/>
      </w:pPr>
      <w:r>
        <w:t xml:space="preserve">I moved the cut earlier, to immediately before the first population, spots-per-giraffe, or direct-total commitment. A deterministic rule scanned all 200 Qwen bet rollouts and found 117 eligible traces; no final outcomes were consulted when applying the rule. Human review could exclude a trace for one of five numbered reasons, but could </w:t>
      </w:r>
      <w:r>
        <w:t>not add traces or use the final answer as a reason for exclusion. The eligible traces had an above/below separation of 0.58, compared with 0.51 in the rejected set. This does not prove an absence of selection bias, but it makes a large outcome-based selection effect less plausible.</w:t>
      </w:r>
    </w:p>
    <w:p w14:paraId="35C9F391" w14:textId="77777777" w:rsidR="00A51D1C" w:rsidRDefault="00000000">
      <w:pPr>
        <w:ind w:firstLine="220"/>
        <w:jc w:val="both"/>
      </w:pPr>
      <w:r>
        <w:t>I then tested which premise could be varied while keeping the prefix natural. Eight population-premise traces produced no viable resampling spread: the model returned values between 100,000 and 120,000, with a median maximum-to-minimum ratio of 1.09. Six of eight spots-premise traces produced viable alternatives between 250 and 1,000 spots per giraffe, with a median ratio of 1.67. This small fixed-prefix comparison is not a general claim about factual uncertainty, but it gave a clear design choice: use the spots premise, where the model itself generated meaningfully different values.</w:t>
      </w:r>
    </w:p>
    <w:p w14:paraId="1F91BEF8" w14:textId="77777777" w:rsidR="00A51D1C" w:rsidRDefault="00000000">
      <w:pPr>
        <w:ind w:firstLine="220"/>
        <w:jc w:val="both"/>
      </w:pPr>
      <w:r>
        <w:t>The final sample contains 15 traces, eight above-pays and seven below-pays. This is one trace short of the planned eight per arm: the eligible below-pays pool was exhausted without loosening the criteria. For each trace, I cut immediately before its first spots-per-giraffe commitment. At that exact cut and context, I sampled alternative one-line premises from Qwen, then continued six times from each edited prefix. I also reinserted the original line and ran the same continuation machinery, so comparisons are not between an edited run and a privileged untouched run.</w:t>
      </w:r>
    </w:p>
    <w:p w14:paraId="3557F9E6" w14:textId="77777777" w:rsidR="00A51D1C" w:rsidRDefault="00000000">
      <w:pPr>
        <w:keepNext/>
        <w:framePr w:w="9070" w:vSpace="240" w:wrap="notBeside" w:hAnchor="margin" w:xAlign="center" w:yAlign="top"/>
        <w:spacing w:after="80"/>
        <w:jc w:val="center"/>
      </w:pPr>
      <w:r>
        <w:rPr>
          <w:noProof/>
        </w:rPr>
        <w:lastRenderedPageBreak/>
        <w:drawing>
          <wp:inline distT="0" distB="0" distL="0" distR="0" wp14:anchorId="0DE60C62" wp14:editId="4D75D122">
            <wp:extent cx="5759450" cy="2603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59450" cy="2603610"/>
                    </a:xfrm>
                    <a:prstGeom prst="rect">
                      <a:avLst/>
                    </a:prstGeom>
                  </pic:spPr>
                </pic:pic>
              </a:graphicData>
            </a:graphic>
          </wp:inline>
        </w:drawing>
      </w:r>
    </w:p>
    <w:p w14:paraId="0B1AC32D" w14:textId="77777777" w:rsidR="00A51D1C" w:rsidRDefault="00000000">
      <w:pPr>
        <w:keepLines/>
        <w:framePr w:w="9070" w:vSpace="240" w:wrap="notBeside" w:hAnchor="margin" w:xAlign="center" w:yAlign="top"/>
        <w:jc w:val="both"/>
      </w:pPr>
      <w:r>
        <w:rPr>
          <w:sz w:val="20"/>
          <w:szCs w:val="20"/>
        </w:rPr>
        <w:t>Figure 8. CAUSE procedure and one worked example. The trace is cut before its first spots-per-giraffe commitment. Alternative lines sampled at that exact cut are inserted one at a time, followed by six continuations. Within this trace, larger inserted spot counts generally lead to larger final estimates, but identical numerical commitments can still produce different medians.</w:t>
      </w:r>
    </w:p>
    <w:p w14:paraId="1CBE47ED" w14:textId="77777777" w:rsidR="00A51D1C" w:rsidRDefault="00000000">
      <w:pPr>
        <w:jc w:val="both"/>
      </w:pPr>
      <w:r>
        <w:t>The same-number comparison in Figure 8 illustrates why the analysis must use distributions. Two different sampled lines both commit to 300 spots per giraffe, yet their continuation medians differ by 2.8 million spots. That is larger than the 1.4 million difference between the lowest and highest inserted spot counts in this example. Sentence wording and ordinary sampling variation can therefore obscure the intervention within one trace, even when the aggregate directional effect is clear.</w:t>
      </w:r>
    </w:p>
    <w:p w14:paraId="4ADA19E0" w14:textId="77777777" w:rsidR="00A51D1C" w:rsidRDefault="00000000">
      <w:pPr>
        <w:pStyle w:val="Heading3"/>
        <w:keepNext/>
        <w:spacing w:before="160" w:after="60"/>
      </w:pPr>
      <w:r>
        <w:t>A consistent directional effect</w:t>
      </w:r>
    </w:p>
    <w:p w14:paraId="2C1F8ADB" w14:textId="77777777" w:rsidR="00A51D1C" w:rsidRDefault="00000000">
      <w:pPr>
        <w:jc w:val="both"/>
      </w:pPr>
      <w:r>
        <w:t>The full experiment contains 88 premise variants and 528 continuations: 438 from alternative lines and 90 from reinserted original lines. Of these, 527 continuations yield a usable final total. The single excluded continuation argues that giraffe spots are not literally black and returns zero; this is a genuine response to the prompt’s wording, not a parsing failure.</w:t>
      </w:r>
    </w:p>
    <w:p w14:paraId="511EBD4A" w14:textId="77777777" w:rsidR="00A51D1C" w:rsidRDefault="00000000">
      <w:pPr>
        <w:keepNext/>
        <w:framePr w:w="9070" w:vSpace="240" w:wrap="notBeside" w:hAnchor="margin" w:xAlign="center" w:yAlign="bottom"/>
        <w:spacing w:after="80"/>
        <w:jc w:val="center"/>
      </w:pPr>
      <w:r>
        <w:rPr>
          <w:noProof/>
        </w:rPr>
        <w:drawing>
          <wp:inline distT="0" distB="0" distL="0" distR="0" wp14:anchorId="3BE4F4C5" wp14:editId="598F073A">
            <wp:extent cx="4319588" cy="2334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19588" cy="2334860"/>
                    </a:xfrm>
                    <a:prstGeom prst="rect">
                      <a:avLst/>
                    </a:prstGeom>
                  </pic:spPr>
                </pic:pic>
              </a:graphicData>
            </a:graphic>
          </wp:inline>
        </w:drawing>
      </w:r>
    </w:p>
    <w:p w14:paraId="23508F89" w14:textId="77777777" w:rsidR="00A51D1C" w:rsidRDefault="00000000">
      <w:pPr>
        <w:keepLines/>
        <w:framePr w:w="9070" w:vSpace="240" w:wrap="notBeside" w:hAnchor="margin" w:xAlign="center" w:yAlign="bottom"/>
        <w:jc w:val="both"/>
      </w:pPr>
      <w:r>
        <w:rPr>
          <w:sz w:val="20"/>
          <w:szCs w:val="20"/>
        </w:rPr>
        <w:t>Figure 9. Within-trace effect of the inserted spots-per-giraffe premise. Each line is one original trace; points are individual continuations and line vertices are variant medians. Both above-pays and below-pays traces generally slope upward. Two of 437 usable alternative continuations lie above the plotted y-range.</w:t>
      </w:r>
    </w:p>
    <w:p w14:paraId="649F3177" w14:textId="77777777" w:rsidR="00A51D1C" w:rsidRDefault="00000000">
      <w:pPr>
        <w:jc w:val="both"/>
      </w:pPr>
      <w:r>
        <w:t>All 15 within-trace rank correlations are positive (Figure 9): 8 of 8 in the above-pays arm and 7 of 7 in the below-pays arm. Under a null in which positive and negative signs are equally likely, the exact two-sided sign-test p-value is 6.1 × 10</w:t>
      </w:r>
      <w:r>
        <w:rPr>
          <w:vertAlign w:val="superscript"/>
        </w:rPr>
        <w:t>−5</w:t>
      </w:r>
      <w:r>
        <w:t>. The median Spearman correlation is 0.70. Figure 10 shows the correlation and retention estimate for every trace.</w:t>
      </w:r>
    </w:p>
    <w:p w14:paraId="4A3992FF" w14:textId="77777777" w:rsidR="00A51D1C" w:rsidRDefault="00000000">
      <w:pPr>
        <w:keepNext/>
        <w:spacing w:before="120" w:after="80"/>
        <w:jc w:val="center"/>
      </w:pPr>
      <w:r>
        <w:rPr>
          <w:noProof/>
        </w:rPr>
        <w:lastRenderedPageBreak/>
        <w:drawing>
          <wp:inline distT="0" distB="0" distL="0" distR="0" wp14:anchorId="5F1517DB" wp14:editId="474119F4">
            <wp:extent cx="2771775" cy="17962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71775" cy="1796263"/>
                    </a:xfrm>
                    <a:prstGeom prst="rect">
                      <a:avLst/>
                    </a:prstGeom>
                  </pic:spPr>
                </pic:pic>
              </a:graphicData>
            </a:graphic>
          </wp:inline>
        </w:drawing>
      </w:r>
    </w:p>
    <w:p w14:paraId="1DC928A4" w14:textId="77777777" w:rsidR="00A51D1C" w:rsidRDefault="00000000">
      <w:pPr>
        <w:keepLines/>
        <w:spacing w:after="200"/>
        <w:jc w:val="both"/>
      </w:pPr>
      <w:r>
        <w:rPr>
          <w:sz w:val="20"/>
          <w:szCs w:val="20"/>
        </w:rPr>
        <w:t>Figure 10. Within-trace Spearman correlation and retention for all 15 CAUSE traces. Every correlation is positive, while retention varies and remains well below one. The first spots estimate has a consistent directional effect but transmits only a limited share of the inserted change.</w:t>
      </w:r>
    </w:p>
    <w:p w14:paraId="4928D38D" w14:textId="77777777" w:rsidR="00A51D1C" w:rsidRDefault="00000000">
      <w:pPr>
        <w:keepNext/>
        <w:keepLines/>
        <w:spacing w:before="160" w:after="100"/>
        <w:jc w:val="both"/>
      </w:pPr>
      <w:r>
        <w:rPr>
          <w:sz w:val="20"/>
          <w:szCs w:val="20"/>
        </w:rPr>
        <w:t>Table 5. CAUSE summary statistics.</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500"/>
        <w:gridCol w:w="1865"/>
      </w:tblGrid>
      <w:tr w:rsidR="00A51D1C" w14:paraId="3C29030A" w14:textId="77777777">
        <w:tblPrEx>
          <w:tblCellMar>
            <w:top w:w="0" w:type="dxa"/>
            <w:bottom w:w="0" w:type="dxa"/>
          </w:tblCellMar>
        </w:tblPrEx>
        <w:trPr>
          <w:cantSplit/>
          <w:tblHeader/>
          <w:jc w:val="center"/>
        </w:trPr>
        <w:tc>
          <w:tcPr>
            <w:tcW w:w="2500"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3E489600" w14:textId="77777777" w:rsidR="00A51D1C" w:rsidRDefault="00000000">
            <w:pPr>
              <w:keepNext/>
            </w:pPr>
            <w:r>
              <w:rPr>
                <w:b/>
                <w:bCs/>
                <w:sz w:val="18"/>
                <w:szCs w:val="18"/>
              </w:rPr>
              <w:t>Outcome</w:t>
            </w:r>
          </w:p>
        </w:tc>
        <w:tc>
          <w:tcPr>
            <w:tcW w:w="186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01AF464F" w14:textId="77777777" w:rsidR="00A51D1C" w:rsidRDefault="00000000">
            <w:pPr>
              <w:keepNext/>
            </w:pPr>
            <w:r>
              <w:rPr>
                <w:b/>
                <w:bCs/>
                <w:sz w:val="18"/>
                <w:szCs w:val="18"/>
              </w:rPr>
              <w:t>Result</w:t>
            </w:r>
          </w:p>
        </w:tc>
      </w:tr>
      <w:tr w:rsidR="00A51D1C" w14:paraId="0FA0222E" w14:textId="77777777">
        <w:tblPrEx>
          <w:tblCellMar>
            <w:top w:w="0" w:type="dxa"/>
            <w:bottom w:w="0" w:type="dxa"/>
          </w:tblCellMar>
        </w:tblPrEx>
        <w:trPr>
          <w:cantSplit/>
          <w:jc w:val="center"/>
        </w:trPr>
        <w:tc>
          <w:tcPr>
            <w:tcW w:w="2500"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0C667546" w14:textId="77777777" w:rsidR="00A51D1C" w:rsidRDefault="00000000">
            <w:pPr>
              <w:keepNext/>
            </w:pPr>
            <w:r>
              <w:rPr>
                <w:sz w:val="18"/>
                <w:szCs w:val="18"/>
              </w:rPr>
              <w:t>Traces</w:t>
            </w:r>
          </w:p>
        </w:tc>
        <w:tc>
          <w:tcPr>
            <w:tcW w:w="186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51ADB25B" w14:textId="77777777" w:rsidR="00A51D1C" w:rsidRDefault="00000000">
            <w:pPr>
              <w:keepNext/>
            </w:pPr>
            <w:r>
              <w:rPr>
                <w:sz w:val="18"/>
                <w:szCs w:val="18"/>
              </w:rPr>
              <w:t>15: 8 above-pays, 7 below-pays</w:t>
            </w:r>
          </w:p>
        </w:tc>
      </w:tr>
      <w:tr w:rsidR="00A51D1C" w14:paraId="4A7BF151"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4BFF61" w14:textId="77777777" w:rsidR="00A51D1C" w:rsidRDefault="00000000">
            <w:pPr>
              <w:keepNext/>
            </w:pPr>
            <w:r>
              <w:rPr>
                <w:sz w:val="18"/>
                <w:szCs w:val="18"/>
              </w:rPr>
              <w:t>Variants / continuations</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90D659" w14:textId="77777777" w:rsidR="00A51D1C" w:rsidRDefault="00000000">
            <w:pPr>
              <w:keepNext/>
            </w:pPr>
            <w:r>
              <w:rPr>
                <w:sz w:val="18"/>
                <w:szCs w:val="18"/>
              </w:rPr>
              <w:t>88 / 528</w:t>
            </w:r>
          </w:p>
        </w:tc>
      </w:tr>
      <w:tr w:rsidR="00A51D1C" w14:paraId="05746AFB"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E59A3A" w14:textId="77777777" w:rsidR="00A51D1C" w:rsidRDefault="00000000">
            <w:pPr>
              <w:keepNext/>
            </w:pPr>
            <w:r>
              <w:rPr>
                <w:sz w:val="18"/>
                <w:szCs w:val="18"/>
              </w:rPr>
              <w:t>Usable continuations</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5A68D3" w14:textId="77777777" w:rsidR="00A51D1C" w:rsidRDefault="00000000">
            <w:pPr>
              <w:keepNext/>
            </w:pPr>
            <w:r>
              <w:rPr>
                <w:sz w:val="18"/>
                <w:szCs w:val="18"/>
              </w:rPr>
              <w:t>527 of 528</w:t>
            </w:r>
          </w:p>
        </w:tc>
      </w:tr>
      <w:tr w:rsidR="00A51D1C" w14:paraId="21B49108"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38CA1E" w14:textId="77777777" w:rsidR="00A51D1C" w:rsidRDefault="00000000">
            <w:pPr>
              <w:keepNext/>
            </w:pPr>
            <w:r>
              <w:rPr>
                <w:sz w:val="18"/>
                <w:szCs w:val="18"/>
              </w:rPr>
              <w:t>Positive within-trace correlations</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AEBDCF" w14:textId="77777777" w:rsidR="00A51D1C" w:rsidRDefault="00000000">
            <w:pPr>
              <w:keepNext/>
            </w:pPr>
            <w:r>
              <w:rPr>
                <w:sz w:val="18"/>
                <w:szCs w:val="18"/>
              </w:rPr>
              <w:t>15 of 15</w:t>
            </w:r>
          </w:p>
        </w:tc>
      </w:tr>
      <w:tr w:rsidR="00A51D1C" w14:paraId="2CFF4C21"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2CA9CA" w14:textId="77777777" w:rsidR="00A51D1C" w:rsidRDefault="00000000">
            <w:pPr>
              <w:keepNext/>
            </w:pPr>
            <w:r>
              <w:rPr>
                <w:sz w:val="18"/>
                <w:szCs w:val="18"/>
              </w:rPr>
              <w:t xml:space="preserve">Median Spearman </w:t>
            </w:r>
            <w:r>
              <w:rPr>
                <w:i/>
                <w:iCs/>
                <w:sz w:val="18"/>
                <w:szCs w:val="18"/>
              </w:rPr>
              <w:t>ρ</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7A619A" w14:textId="77777777" w:rsidR="00A51D1C" w:rsidRDefault="00000000">
            <w:pPr>
              <w:keepNext/>
            </w:pPr>
            <w:r>
              <w:rPr>
                <w:sz w:val="18"/>
                <w:szCs w:val="18"/>
              </w:rPr>
              <w:t>0.70</w:t>
            </w:r>
          </w:p>
        </w:tc>
      </w:tr>
      <w:tr w:rsidR="00A51D1C" w14:paraId="7BE883C1"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185924" w14:textId="77777777" w:rsidR="00A51D1C" w:rsidRDefault="00000000">
            <w:pPr>
              <w:keepNext/>
            </w:pPr>
            <w:r>
              <w:rPr>
                <w:sz w:val="18"/>
                <w:szCs w:val="18"/>
              </w:rPr>
              <w:t>Exact two-sided sign test</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209B0A" w14:textId="77777777" w:rsidR="00A51D1C" w:rsidRDefault="00000000">
            <w:pPr>
              <w:keepNext/>
            </w:pPr>
            <w:r>
              <w:rPr>
                <w:i/>
                <w:iCs/>
                <w:sz w:val="18"/>
                <w:szCs w:val="18"/>
              </w:rPr>
              <w:t>p</w:t>
            </w:r>
            <w:r>
              <w:rPr>
                <w:sz w:val="18"/>
                <w:szCs w:val="18"/>
              </w:rPr>
              <w:t xml:space="preserve"> = 0.000061</w:t>
            </w:r>
          </w:p>
        </w:tc>
      </w:tr>
      <w:tr w:rsidR="00A51D1C" w14:paraId="3D008A9C" w14:textId="77777777">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37B00" w14:textId="77777777" w:rsidR="00A51D1C" w:rsidRDefault="00000000">
            <w:pPr>
              <w:keepNext/>
            </w:pPr>
            <w:r>
              <w:rPr>
                <w:sz w:val="18"/>
                <w:szCs w:val="18"/>
              </w:rPr>
              <w:t>Median retention</w:t>
            </w:r>
          </w:p>
        </w:tc>
        <w:tc>
          <w:tcPr>
            <w:tcW w:w="18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27A73" w14:textId="77777777" w:rsidR="00A51D1C" w:rsidRDefault="00000000">
            <w:pPr>
              <w:keepNext/>
            </w:pPr>
            <w:r>
              <w:rPr>
                <w:sz w:val="18"/>
                <w:szCs w:val="18"/>
              </w:rPr>
              <w:t>0.13</w:t>
            </w:r>
          </w:p>
        </w:tc>
      </w:tr>
      <w:tr w:rsidR="00A51D1C" w14:paraId="2B930061" w14:textId="77777777">
        <w:tblPrEx>
          <w:tblCellMar>
            <w:top w:w="0" w:type="dxa"/>
            <w:bottom w:w="0" w:type="dxa"/>
          </w:tblCellMar>
        </w:tblPrEx>
        <w:trPr>
          <w:cantSplit/>
          <w:jc w:val="center"/>
        </w:trPr>
        <w:tc>
          <w:tcPr>
            <w:tcW w:w="2500"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58D24DAD" w14:textId="77777777" w:rsidR="00A51D1C" w:rsidRDefault="00000000">
            <w:r>
              <w:rPr>
                <w:sz w:val="18"/>
                <w:szCs w:val="18"/>
              </w:rPr>
              <w:t>Median baseline continuation IQR</w:t>
            </w:r>
          </w:p>
        </w:tc>
        <w:tc>
          <w:tcPr>
            <w:tcW w:w="186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16FAB8DF" w14:textId="77777777" w:rsidR="00A51D1C" w:rsidRDefault="00000000">
            <w:r>
              <w:rPr>
                <w:sz w:val="18"/>
                <w:szCs w:val="18"/>
              </w:rPr>
              <w:t>0.16 of the threshold</w:t>
            </w:r>
          </w:p>
        </w:tc>
      </w:tr>
    </w:tbl>
    <w:p w14:paraId="41825A03" w14:textId="77777777" w:rsidR="00A51D1C" w:rsidRDefault="00A51D1C">
      <w:pPr>
        <w:spacing w:after="160"/>
      </w:pPr>
    </w:p>
    <w:p w14:paraId="40C3F796" w14:textId="77777777" w:rsidR="00A51D1C" w:rsidRDefault="00000000">
      <w:pPr>
        <w:jc w:val="both"/>
      </w:pPr>
      <w:r>
        <w:t>The directional result is strong (Table 5), but the effect is not large. Median retention is 0.13: only about 13% of the proportional change implied by the edited spots premise remains in the final answer. The inserted values span 1.5× to 3.3× within a trace, so the small retention is not caused by an imperceptibly weak intervention.</w:t>
      </w:r>
    </w:p>
    <w:p w14:paraId="38FE0ECF" w14:textId="77777777" w:rsidR="00A51D1C" w:rsidRDefault="00000000">
      <w:pPr>
        <w:keepNext/>
        <w:framePr w:w="9070" w:vSpace="240" w:wrap="notBeside" w:hAnchor="margin" w:xAlign="center" w:yAlign="top"/>
        <w:spacing w:after="80"/>
        <w:jc w:val="center"/>
      </w:pPr>
      <w:r>
        <w:rPr>
          <w:noProof/>
        </w:rPr>
        <w:drawing>
          <wp:inline distT="0" distB="0" distL="0" distR="0" wp14:anchorId="278D86F9" wp14:editId="7B7FD66B">
            <wp:extent cx="4031615" cy="20536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31615" cy="2053654"/>
                    </a:xfrm>
                    <a:prstGeom prst="rect">
                      <a:avLst/>
                    </a:prstGeom>
                  </pic:spPr>
                </pic:pic>
              </a:graphicData>
            </a:graphic>
          </wp:inline>
        </w:drawing>
      </w:r>
    </w:p>
    <w:p w14:paraId="058AE276" w14:textId="77777777" w:rsidR="00A51D1C" w:rsidRDefault="00000000">
      <w:pPr>
        <w:keepLines/>
        <w:framePr w:w="9070" w:vSpace="240" w:wrap="notBeside" w:hAnchor="margin" w:xAlign="center" w:yAlign="top"/>
        <w:jc w:val="both"/>
      </w:pPr>
      <w:r>
        <w:rPr>
          <w:sz w:val="20"/>
          <w:szCs w:val="20"/>
        </w:rPr>
        <w:t>Figure 11. Pooled continuation-level differences from the median obtained by reinserting each trace’s own premise, shown for its lowest sampled value, own value, and highest sampled value. The lowest and highest distributions shift in the expected directions, but overlap substantially. The middle row is an edited-prefix control using the original line, not the untouched saved trace.</w:t>
      </w:r>
    </w:p>
    <w:p w14:paraId="3C1E7261" w14:textId="77777777" w:rsidR="00A51D1C" w:rsidRDefault="00000000">
      <w:pPr>
        <w:jc w:val="both"/>
      </w:pPr>
      <w:r>
        <w:t>Figure 11 shows the right interpretation. Lower inserted values move the distribution down and higher values move it up, but continuation-level noise is wide enough that the distributions overlap substantially. The cause is reliable in aggregate and often difficult to identify from a single continuation.</w:t>
      </w:r>
    </w:p>
    <w:p w14:paraId="7716BED7" w14:textId="77777777" w:rsidR="00A51D1C" w:rsidRDefault="00000000">
      <w:pPr>
        <w:spacing w:before="100"/>
        <w:jc w:val="both"/>
      </w:pPr>
      <w:r>
        <w:rPr>
          <w:b/>
          <w:bCs/>
        </w:rPr>
        <w:t>CAUSE therefore shows that the first written spots premise really does move the answer, but explains only a limited part of where the continuation lands.</w:t>
      </w:r>
      <w:r>
        <w:t xml:space="preserve"> It acts as a leaky anchor rather than a fixed multiplier. Later reasoning revises assumptions, checks plausibility, and sometimes changes other quantities. This refines the early-separation result from AIM: the prompt shifts the numerical region in which Qwen begins, and the first scalable premise contributes to the answer, but neither the early trajectory nor that premise fully determines the final estimate.</w:t>
      </w:r>
    </w:p>
    <w:p w14:paraId="3EA42283" w14:textId="77777777" w:rsidR="00A51D1C" w:rsidRDefault="00000000">
      <w:pPr>
        <w:pStyle w:val="Heading2"/>
        <w:keepNext/>
        <w:spacing w:before="200" w:after="100"/>
      </w:pPr>
      <w:r>
        <w:t>3.5 Hypothesis outcomes</w:t>
      </w:r>
    </w:p>
    <w:p w14:paraId="39CCBE5A" w14:textId="77777777" w:rsidR="00A51D1C" w:rsidRDefault="00000000">
      <w:pPr>
        <w:jc w:val="both"/>
      </w:pPr>
      <w:r>
        <w:t>Table 6 resolves the six predictions from Section 2.3. “Supported” means that the observed result followed the stated prediction within this study; it does not imply that the claim generalizes beyond the tested models, prompts, and deployments.</w:t>
      </w:r>
    </w:p>
    <w:p w14:paraId="7EAF5676" w14:textId="77777777" w:rsidR="00A51D1C" w:rsidRDefault="00000000">
      <w:pPr>
        <w:keepNext/>
        <w:keepLines/>
        <w:spacing w:before="160" w:after="100"/>
        <w:jc w:val="both"/>
      </w:pPr>
      <w:r>
        <w:rPr>
          <w:sz w:val="20"/>
          <w:szCs w:val="20"/>
        </w:rPr>
        <w:lastRenderedPageBreak/>
        <w:t>Table 6. Outcomes of the six hypotheses.</w:t>
      </w:r>
    </w:p>
    <w:tbl>
      <w:tblPr>
        <w:tblW w:w="436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80"/>
        <w:gridCol w:w="1150"/>
        <w:gridCol w:w="2335"/>
      </w:tblGrid>
      <w:tr w:rsidR="00A51D1C" w14:paraId="1EBC3E8D" w14:textId="77777777">
        <w:tblPrEx>
          <w:tblCellMar>
            <w:top w:w="0" w:type="dxa"/>
            <w:bottom w:w="0" w:type="dxa"/>
          </w:tblCellMar>
        </w:tblPrEx>
        <w:trPr>
          <w:cantSplit/>
          <w:tblHeader/>
          <w:jc w:val="center"/>
        </w:trPr>
        <w:tc>
          <w:tcPr>
            <w:tcW w:w="880" w:type="dxa"/>
            <w:tcBorders>
              <w:top w:val="single" w:sz="10" w:space="0" w:color="000000"/>
              <w:left w:val="none" w:sz="0" w:space="0" w:color="FFFFFF"/>
              <w:bottom w:val="none" w:sz="0" w:space="0" w:color="FFFFFF"/>
              <w:right w:val="none" w:sz="0" w:space="0" w:color="FFFFFF"/>
            </w:tcBorders>
            <w:tcMar>
              <w:top w:w="40" w:type="dxa"/>
              <w:left w:w="50" w:type="dxa"/>
              <w:bottom w:w="40" w:type="dxa"/>
              <w:right w:w="50" w:type="dxa"/>
            </w:tcMar>
          </w:tcPr>
          <w:p w14:paraId="2794EFEB" w14:textId="77777777" w:rsidR="00A51D1C" w:rsidRDefault="00000000">
            <w:pPr>
              <w:keepNext/>
            </w:pPr>
            <w:r>
              <w:rPr>
                <w:b/>
                <w:bCs/>
                <w:sz w:val="16"/>
                <w:szCs w:val="16"/>
              </w:rPr>
              <w:t>Hypothesis</w:t>
            </w:r>
          </w:p>
        </w:tc>
        <w:tc>
          <w:tcPr>
            <w:tcW w:w="1150" w:type="dxa"/>
            <w:tcBorders>
              <w:top w:val="single" w:sz="10" w:space="0" w:color="000000"/>
              <w:left w:val="none" w:sz="0" w:space="0" w:color="FFFFFF"/>
              <w:bottom w:val="none" w:sz="0" w:space="0" w:color="FFFFFF"/>
              <w:right w:val="none" w:sz="0" w:space="0" w:color="FFFFFF"/>
            </w:tcBorders>
            <w:tcMar>
              <w:top w:w="40" w:type="dxa"/>
              <w:left w:w="50" w:type="dxa"/>
              <w:bottom w:w="40" w:type="dxa"/>
              <w:right w:w="50" w:type="dxa"/>
            </w:tcMar>
          </w:tcPr>
          <w:p w14:paraId="17C4D860" w14:textId="77777777" w:rsidR="00A51D1C" w:rsidRDefault="00000000">
            <w:pPr>
              <w:keepNext/>
            </w:pPr>
            <w:r>
              <w:rPr>
                <w:b/>
                <w:bCs/>
                <w:sz w:val="16"/>
                <w:szCs w:val="16"/>
              </w:rPr>
              <w:t>Outcome</w:t>
            </w:r>
          </w:p>
        </w:tc>
        <w:tc>
          <w:tcPr>
            <w:tcW w:w="2335" w:type="dxa"/>
            <w:tcBorders>
              <w:top w:val="single" w:sz="10" w:space="0" w:color="000000"/>
              <w:left w:val="none" w:sz="0" w:space="0" w:color="FFFFFF"/>
              <w:bottom w:val="none" w:sz="0" w:space="0" w:color="FFFFFF"/>
              <w:right w:val="none" w:sz="0" w:space="0" w:color="FFFFFF"/>
            </w:tcBorders>
            <w:tcMar>
              <w:top w:w="40" w:type="dxa"/>
              <w:left w:w="50" w:type="dxa"/>
              <w:bottom w:w="40" w:type="dxa"/>
              <w:right w:w="50" w:type="dxa"/>
            </w:tcMar>
          </w:tcPr>
          <w:p w14:paraId="75AD91B8" w14:textId="77777777" w:rsidR="00A51D1C" w:rsidRDefault="00000000">
            <w:pPr>
              <w:keepNext/>
            </w:pPr>
            <w:r>
              <w:rPr>
                <w:b/>
                <w:bCs/>
                <w:sz w:val="16"/>
                <w:szCs w:val="16"/>
              </w:rPr>
              <w:t>Evidence</w:t>
            </w:r>
          </w:p>
        </w:tc>
      </w:tr>
      <w:tr w:rsidR="00A51D1C" w14:paraId="1C04E952" w14:textId="77777777">
        <w:tblPrEx>
          <w:tblCellMar>
            <w:top w:w="0" w:type="dxa"/>
            <w:bottom w:w="0" w:type="dxa"/>
          </w:tblCellMar>
        </w:tblPrEx>
        <w:trPr>
          <w:cantSplit/>
          <w:jc w:val="center"/>
        </w:trPr>
        <w:tc>
          <w:tcPr>
            <w:tcW w:w="880" w:type="dxa"/>
            <w:tcBorders>
              <w:top w:val="single" w:sz="4" w:space="0" w:color="000000"/>
              <w:left w:val="none" w:sz="0" w:space="0" w:color="FFFFFF"/>
              <w:bottom w:val="none" w:sz="0" w:space="0" w:color="FFFFFF"/>
              <w:right w:val="none" w:sz="0" w:space="0" w:color="FFFFFF"/>
            </w:tcBorders>
            <w:tcMar>
              <w:top w:w="40" w:type="dxa"/>
              <w:left w:w="50" w:type="dxa"/>
              <w:bottom w:w="40" w:type="dxa"/>
              <w:right w:w="50" w:type="dxa"/>
            </w:tcMar>
          </w:tcPr>
          <w:p w14:paraId="36B860B2" w14:textId="77777777" w:rsidR="00A51D1C" w:rsidRDefault="00000000">
            <w:pPr>
              <w:keepNext/>
            </w:pPr>
            <w:r>
              <w:rPr>
                <w:sz w:val="16"/>
                <w:szCs w:val="16"/>
              </w:rPr>
              <w:t>H1</w:t>
            </w:r>
          </w:p>
        </w:tc>
        <w:tc>
          <w:tcPr>
            <w:tcW w:w="1150" w:type="dxa"/>
            <w:tcBorders>
              <w:top w:val="single" w:sz="4" w:space="0" w:color="000000"/>
              <w:left w:val="none" w:sz="0" w:space="0" w:color="FFFFFF"/>
              <w:bottom w:val="none" w:sz="0" w:space="0" w:color="FFFFFF"/>
              <w:right w:val="none" w:sz="0" w:space="0" w:color="FFFFFF"/>
            </w:tcBorders>
            <w:tcMar>
              <w:top w:w="40" w:type="dxa"/>
              <w:left w:w="50" w:type="dxa"/>
              <w:bottom w:w="40" w:type="dxa"/>
              <w:right w:w="50" w:type="dxa"/>
            </w:tcMar>
          </w:tcPr>
          <w:p w14:paraId="5A624C5A" w14:textId="77777777" w:rsidR="00A51D1C" w:rsidRDefault="00000000">
            <w:pPr>
              <w:keepNext/>
            </w:pPr>
            <w:r>
              <w:rPr>
                <w:sz w:val="16"/>
                <w:szCs w:val="16"/>
              </w:rPr>
              <w:t>Supported descriptively</w:t>
            </w:r>
          </w:p>
        </w:tc>
        <w:tc>
          <w:tcPr>
            <w:tcW w:w="2335" w:type="dxa"/>
            <w:tcBorders>
              <w:top w:val="single" w:sz="4" w:space="0" w:color="000000"/>
              <w:left w:val="none" w:sz="0" w:space="0" w:color="FFFFFF"/>
              <w:bottom w:val="none" w:sz="0" w:space="0" w:color="FFFFFF"/>
              <w:right w:val="none" w:sz="0" w:space="0" w:color="FFFFFF"/>
            </w:tcBorders>
            <w:tcMar>
              <w:top w:w="40" w:type="dxa"/>
              <w:left w:w="50" w:type="dxa"/>
              <w:bottom w:w="40" w:type="dxa"/>
              <w:right w:w="50" w:type="dxa"/>
            </w:tcMar>
          </w:tcPr>
          <w:p w14:paraId="081801AC" w14:textId="77777777" w:rsidR="00A51D1C" w:rsidRDefault="00000000">
            <w:pPr>
              <w:keepNext/>
            </w:pPr>
            <w:r>
              <w:rPr>
                <w:sz w:val="16"/>
                <w:szCs w:val="16"/>
              </w:rPr>
              <w:t>Qwen’s above- and below-target trajectories are separated at the first extracted candidate and remain separated through the trace. The trajectory analysis localizes the difference but is not causal.</w:t>
            </w:r>
          </w:p>
        </w:tc>
      </w:tr>
      <w:tr w:rsidR="00A51D1C" w14:paraId="3472E4F0" w14:textId="77777777">
        <w:tblPrEx>
          <w:tblCellMar>
            <w:top w:w="0" w:type="dxa"/>
            <w:bottom w:w="0" w:type="dxa"/>
          </w:tblCellMar>
        </w:tblPrEx>
        <w:trPr>
          <w:cantSplit/>
          <w:jc w:val="center"/>
        </w:trPr>
        <w:tc>
          <w:tcPr>
            <w:tcW w:w="88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0377AD5C" w14:textId="77777777" w:rsidR="00A51D1C" w:rsidRDefault="00000000">
            <w:pPr>
              <w:keepNext/>
            </w:pPr>
            <w:r>
              <w:rPr>
                <w:sz w:val="16"/>
                <w:szCs w:val="16"/>
              </w:rPr>
              <w:t>H2</w:t>
            </w:r>
          </w:p>
        </w:tc>
        <w:tc>
          <w:tcPr>
            <w:tcW w:w="115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2142493D" w14:textId="77777777" w:rsidR="00A51D1C" w:rsidRDefault="00000000">
            <w:pPr>
              <w:keepNext/>
            </w:pPr>
            <w:r>
              <w:rPr>
                <w:sz w:val="16"/>
                <w:szCs w:val="16"/>
              </w:rPr>
              <w:t>Supported directionally</w:t>
            </w:r>
          </w:p>
        </w:tc>
        <w:tc>
          <w:tcPr>
            <w:tcW w:w="2335"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07006016" w14:textId="77777777" w:rsidR="00A51D1C" w:rsidRDefault="00000000">
            <w:pPr>
              <w:keepNext/>
            </w:pPr>
            <w:r>
              <w:rPr>
                <w:sz w:val="16"/>
                <w:szCs w:val="16"/>
              </w:rPr>
              <w:t>Withholding the threshold reduces Qwen’s answer-shift point estimate from 0.526 to 0.167, a reduction of ~68%. The difference between the two shifts is not formally tested, and the hidden-threshold interval remains too wide to conclude that the residual effect is zero.</w:t>
            </w:r>
          </w:p>
        </w:tc>
      </w:tr>
      <w:tr w:rsidR="00A51D1C" w14:paraId="78E3719A" w14:textId="77777777">
        <w:tblPrEx>
          <w:tblCellMar>
            <w:top w:w="0" w:type="dxa"/>
            <w:bottom w:w="0" w:type="dxa"/>
          </w:tblCellMar>
        </w:tblPrEx>
        <w:trPr>
          <w:cantSplit/>
          <w:jc w:val="center"/>
        </w:trPr>
        <w:tc>
          <w:tcPr>
            <w:tcW w:w="88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36C5A6D3" w14:textId="77777777" w:rsidR="00A51D1C" w:rsidRDefault="00000000">
            <w:pPr>
              <w:keepNext/>
            </w:pPr>
            <w:r>
              <w:rPr>
                <w:sz w:val="16"/>
                <w:szCs w:val="16"/>
              </w:rPr>
              <w:t>H3</w:t>
            </w:r>
          </w:p>
        </w:tc>
        <w:tc>
          <w:tcPr>
            <w:tcW w:w="115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579DCC1C" w14:textId="77777777" w:rsidR="00A51D1C" w:rsidRDefault="00000000">
            <w:pPr>
              <w:keepNext/>
            </w:pPr>
            <w:r>
              <w:rPr>
                <w:sz w:val="16"/>
                <w:szCs w:val="16"/>
              </w:rPr>
              <w:t>Supported</w:t>
            </w:r>
          </w:p>
        </w:tc>
        <w:tc>
          <w:tcPr>
            <w:tcW w:w="2335"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5BAC37BF" w14:textId="77777777" w:rsidR="00A51D1C" w:rsidRDefault="00000000">
            <w:pPr>
              <w:keepNext/>
            </w:pPr>
            <w:r>
              <w:rPr>
                <w:sz w:val="16"/>
                <w:szCs w:val="16"/>
              </w:rPr>
              <w:t>Explicitly instructing Qwen to aim produces complete observed separation, 1.000, compared with 0.526 in the ordinary Donation Bet.</w:t>
            </w:r>
          </w:p>
        </w:tc>
      </w:tr>
      <w:tr w:rsidR="00A51D1C" w14:paraId="70528006" w14:textId="77777777">
        <w:tblPrEx>
          <w:tblCellMar>
            <w:top w:w="0" w:type="dxa"/>
            <w:bottom w:w="0" w:type="dxa"/>
          </w:tblCellMar>
        </w:tblPrEx>
        <w:trPr>
          <w:cantSplit/>
          <w:jc w:val="center"/>
        </w:trPr>
        <w:tc>
          <w:tcPr>
            <w:tcW w:w="88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488A0B45" w14:textId="77777777" w:rsidR="00A51D1C" w:rsidRDefault="00000000">
            <w:pPr>
              <w:keepNext/>
            </w:pPr>
            <w:r>
              <w:rPr>
                <w:sz w:val="16"/>
                <w:szCs w:val="16"/>
              </w:rPr>
              <w:t>H4</w:t>
            </w:r>
          </w:p>
        </w:tc>
        <w:tc>
          <w:tcPr>
            <w:tcW w:w="115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72DF2650" w14:textId="77777777" w:rsidR="00A51D1C" w:rsidRDefault="00000000">
            <w:pPr>
              <w:keepNext/>
            </w:pPr>
            <w:r>
              <w:rPr>
                <w:sz w:val="16"/>
                <w:szCs w:val="16"/>
              </w:rPr>
              <w:t>Not supported as a general cross-model relationship</w:t>
            </w:r>
          </w:p>
        </w:tc>
        <w:tc>
          <w:tcPr>
            <w:tcW w:w="2335"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75CDB981" w14:textId="77777777" w:rsidR="00A51D1C" w:rsidRDefault="00000000">
            <w:pPr>
              <w:keepNext/>
            </w:pPr>
            <w:r>
              <w:rPr>
                <w:sz w:val="16"/>
                <w:szCs w:val="16"/>
              </w:rPr>
              <w:t>Qwen has both a large shift and frequent admissions, but several models admit influence frequently despite smaller shifts. Judge instability also limits precise cross-model comparison.</w:t>
            </w:r>
          </w:p>
        </w:tc>
      </w:tr>
      <w:tr w:rsidR="00A51D1C" w14:paraId="6545DC39" w14:textId="77777777">
        <w:tblPrEx>
          <w:tblCellMar>
            <w:top w:w="0" w:type="dxa"/>
            <w:bottom w:w="0" w:type="dxa"/>
          </w:tblCellMar>
        </w:tblPrEx>
        <w:trPr>
          <w:cantSplit/>
          <w:jc w:val="center"/>
        </w:trPr>
        <w:tc>
          <w:tcPr>
            <w:tcW w:w="88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28065141" w14:textId="77777777" w:rsidR="00A51D1C" w:rsidRDefault="00000000">
            <w:pPr>
              <w:keepNext/>
            </w:pPr>
            <w:r>
              <w:rPr>
                <w:sz w:val="16"/>
                <w:szCs w:val="16"/>
              </w:rPr>
              <w:t>H5</w:t>
            </w:r>
          </w:p>
        </w:tc>
        <w:tc>
          <w:tcPr>
            <w:tcW w:w="1150"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1567F3D2" w14:textId="77777777" w:rsidR="00A51D1C" w:rsidRDefault="00000000">
            <w:pPr>
              <w:keepNext/>
            </w:pPr>
            <w:r>
              <w:rPr>
                <w:sz w:val="16"/>
                <w:szCs w:val="16"/>
              </w:rPr>
              <w:t>Not supported</w:t>
            </w:r>
          </w:p>
        </w:tc>
        <w:tc>
          <w:tcPr>
            <w:tcW w:w="2335" w:type="dxa"/>
            <w:tcBorders>
              <w:top w:val="none" w:sz="0" w:space="0" w:color="FFFFFF"/>
              <w:left w:val="none" w:sz="0" w:space="0" w:color="FFFFFF"/>
              <w:bottom w:val="none" w:sz="0" w:space="0" w:color="FFFFFF"/>
              <w:right w:val="none" w:sz="0" w:space="0" w:color="FFFFFF"/>
            </w:tcBorders>
            <w:tcMar>
              <w:top w:w="40" w:type="dxa"/>
              <w:left w:w="50" w:type="dxa"/>
              <w:bottom w:w="40" w:type="dxa"/>
              <w:right w:w="50" w:type="dxa"/>
            </w:tcMar>
          </w:tcPr>
          <w:p w14:paraId="50018486" w14:textId="77777777" w:rsidR="00A51D1C" w:rsidRDefault="00000000">
            <w:pPr>
              <w:keepNext/>
            </w:pPr>
            <w:r>
              <w:rPr>
                <w:sz w:val="16"/>
                <w:szCs w:val="16"/>
              </w:rPr>
              <w:t>The rewarded-direction probe gaps are near zero or slightly negative rather than systematically positive, and all six bootstrap intervals include zero.</w:t>
            </w:r>
          </w:p>
        </w:tc>
      </w:tr>
      <w:tr w:rsidR="00A51D1C" w14:paraId="4ADF1549" w14:textId="77777777">
        <w:tblPrEx>
          <w:tblCellMar>
            <w:top w:w="0" w:type="dxa"/>
            <w:bottom w:w="0" w:type="dxa"/>
          </w:tblCellMar>
        </w:tblPrEx>
        <w:trPr>
          <w:cantSplit/>
          <w:jc w:val="center"/>
        </w:trPr>
        <w:tc>
          <w:tcPr>
            <w:tcW w:w="880" w:type="dxa"/>
            <w:tcBorders>
              <w:top w:val="none" w:sz="0" w:space="0" w:color="FFFFFF"/>
              <w:left w:val="none" w:sz="0" w:space="0" w:color="FFFFFF"/>
              <w:bottom w:val="single" w:sz="10" w:space="0" w:color="000000"/>
              <w:right w:val="none" w:sz="0" w:space="0" w:color="FFFFFF"/>
            </w:tcBorders>
            <w:tcMar>
              <w:top w:w="40" w:type="dxa"/>
              <w:left w:w="50" w:type="dxa"/>
              <w:bottom w:w="40" w:type="dxa"/>
              <w:right w:w="50" w:type="dxa"/>
            </w:tcMar>
          </w:tcPr>
          <w:p w14:paraId="441E64DA" w14:textId="77777777" w:rsidR="00A51D1C" w:rsidRDefault="00000000">
            <w:r>
              <w:rPr>
                <w:sz w:val="16"/>
                <w:szCs w:val="16"/>
              </w:rPr>
              <w:t>H6</w:t>
            </w:r>
          </w:p>
        </w:tc>
        <w:tc>
          <w:tcPr>
            <w:tcW w:w="1150" w:type="dxa"/>
            <w:tcBorders>
              <w:top w:val="none" w:sz="0" w:space="0" w:color="FFFFFF"/>
              <w:left w:val="none" w:sz="0" w:space="0" w:color="FFFFFF"/>
              <w:bottom w:val="single" w:sz="10" w:space="0" w:color="000000"/>
              <w:right w:val="none" w:sz="0" w:space="0" w:color="FFFFFF"/>
            </w:tcBorders>
            <w:tcMar>
              <w:top w:w="40" w:type="dxa"/>
              <w:left w:w="50" w:type="dxa"/>
              <w:bottom w:w="40" w:type="dxa"/>
              <w:right w:w="50" w:type="dxa"/>
            </w:tcMar>
          </w:tcPr>
          <w:p w14:paraId="5D0FD97C" w14:textId="77777777" w:rsidR="00A51D1C" w:rsidRDefault="00000000">
            <w:r>
              <w:rPr>
                <w:sz w:val="16"/>
                <w:szCs w:val="16"/>
              </w:rPr>
              <w:t>Supported</w:t>
            </w:r>
          </w:p>
        </w:tc>
        <w:tc>
          <w:tcPr>
            <w:tcW w:w="2335" w:type="dxa"/>
            <w:tcBorders>
              <w:top w:val="none" w:sz="0" w:space="0" w:color="FFFFFF"/>
              <w:left w:val="none" w:sz="0" w:space="0" w:color="FFFFFF"/>
              <w:bottom w:val="single" w:sz="10" w:space="0" w:color="000000"/>
              <w:right w:val="none" w:sz="0" w:space="0" w:color="FFFFFF"/>
            </w:tcBorders>
            <w:tcMar>
              <w:top w:w="40" w:type="dxa"/>
              <w:left w:w="50" w:type="dxa"/>
              <w:bottom w:w="40" w:type="dxa"/>
              <w:right w:w="50" w:type="dxa"/>
            </w:tcMar>
          </w:tcPr>
          <w:p w14:paraId="44173F2A" w14:textId="77777777" w:rsidR="00A51D1C" w:rsidRDefault="00000000">
            <w:r>
              <w:rPr>
                <w:sz w:val="16"/>
                <w:szCs w:val="16"/>
              </w:rPr>
              <w:t>All 15 traces have a positive inserted-premise-to-final-answer correlation; the exact two-sided sign test gives p = 0.000061.</w:t>
            </w:r>
          </w:p>
        </w:tc>
      </w:tr>
    </w:tbl>
    <w:p w14:paraId="6B4061FD" w14:textId="77777777" w:rsidR="00A51D1C" w:rsidRDefault="00A51D1C">
      <w:pPr>
        <w:spacing w:after="160"/>
      </w:pPr>
    </w:p>
    <w:p w14:paraId="1FFC2A43" w14:textId="77777777" w:rsidR="00A51D1C" w:rsidRDefault="00000000">
      <w:pPr>
        <w:pStyle w:val="Heading1"/>
        <w:keepNext/>
        <w:spacing w:before="280" w:after="120"/>
      </w:pPr>
      <w:r>
        <w:t>4. Discussion</w:t>
      </w:r>
    </w:p>
    <w:p w14:paraId="27EE0FDA" w14:textId="77777777" w:rsidR="00A51D1C" w:rsidRDefault="00000000">
      <w:pPr>
        <w:pStyle w:val="Heading2"/>
        <w:keepNext/>
        <w:spacing w:before="200" w:after="100"/>
      </w:pPr>
      <w:r>
        <w:t>4.1 What kind of unfaithfulness remains plausible?</w:t>
      </w:r>
    </w:p>
    <w:p w14:paraId="72E2EAEB" w14:textId="77777777" w:rsidR="00A51D1C" w:rsidRDefault="00000000">
      <w:pPr>
        <w:jc w:val="both"/>
      </w:pPr>
      <w:r>
        <w:t>The results distinguish four claims that are easy to conflate.</w:t>
      </w:r>
    </w:p>
    <w:p w14:paraId="065B3994" w14:textId="77777777" w:rsidR="00A51D1C" w:rsidRDefault="00000000">
      <w:pPr>
        <w:spacing w:before="100"/>
        <w:jc w:val="both"/>
      </w:pPr>
      <w:r>
        <w:rPr>
          <w:b/>
          <w:bCs/>
        </w:rPr>
        <w:t>Explicit false reporting.</w:t>
      </w:r>
      <w:r>
        <w:t xml:space="preserve"> Qwen does not generally claim to be unbiased while adjusting its estimate. In 33 of 40 sampled traces it admits influence, often describing the donation target directly. TELL therefore weighs against systematic concealment for this model. It does not give the same reassurance for Claude, where denials are common despite a behavioral shift.</w:t>
      </w:r>
    </w:p>
    <w:p w14:paraId="74BC8E25" w14:textId="77777777" w:rsidR="00A51D1C" w:rsidRDefault="00000000">
      <w:pPr>
        <w:spacing w:before="100"/>
        <w:jc w:val="both"/>
      </w:pPr>
      <w:r>
        <w:rPr>
          <w:b/>
          <w:bCs/>
        </w:rPr>
        <w:t>Target-dependent steering.</w:t>
      </w:r>
      <w:r>
        <w:t xml:space="preserve"> AIM shows that the incentive is behaviorally effective when Qwen can see the numerical threshold, but much less effective when the threshold is withheld. A direct instruction to aim above or below produces complete observed separation. This makes the trace’s discussion of the target, and the early </w:t>
      </w:r>
      <w:r>
        <w:t>numerical separation that accompanies it, more likely to reflect the process shaping the answer rather than incidental commentary. AIM does not show which particular step transmits that influence.</w:t>
      </w:r>
    </w:p>
    <w:p w14:paraId="00A6282B" w14:textId="77777777" w:rsidR="00A51D1C" w:rsidRDefault="00000000">
      <w:pPr>
        <w:spacing w:before="100"/>
        <w:jc w:val="both"/>
      </w:pPr>
      <w:r>
        <w:rPr>
          <w:b/>
          <w:bCs/>
        </w:rPr>
        <w:t>Local misreporting of the current estimate.</w:t>
      </w:r>
      <w:r>
        <w:t xml:space="preserve"> KNOW finds no systematic rewarded-direction gap between Qwen’s probe estimate and its continuation distribution. The visible estimate is not perfect, but it is usually predictive. This weighs against a process in which the model has already selected one numerical answer while reporting a different intermediate state.</w:t>
      </w:r>
    </w:p>
    <w:p w14:paraId="015F9D5E" w14:textId="77777777" w:rsidR="00A51D1C" w:rsidRDefault="00000000">
      <w:pPr>
        <w:spacing w:before="100"/>
        <w:jc w:val="both"/>
      </w:pPr>
      <w:r>
        <w:rPr>
          <w:b/>
          <w:bCs/>
        </w:rPr>
        <w:t>Incomplete causal coverage.</w:t>
      </w:r>
      <w:r>
        <w:t xml:space="preserve"> CAUSE shows that an apparently important calculation step genuinely matters, yet preserves only a small fraction of the change placed into it. The visible trace is therefore neither an unrelated story nor a complete causal account. At least one sentence has a reproducible effect, while later reasoning and sampling variation explain much more of the final answer.</w:t>
      </w:r>
    </w:p>
    <w:p w14:paraId="4C24C4EA" w14:textId="77777777" w:rsidR="00A51D1C" w:rsidRDefault="00000000">
      <w:pPr>
        <w:ind w:firstLine="220"/>
        <w:jc w:val="both"/>
      </w:pPr>
      <w:r>
        <w:t xml:space="preserve">On balance, I lean toward describing Qwen’s visible reasoning as </w:t>
      </w:r>
      <w:r>
        <w:rPr>
          <w:b/>
          <w:bCs/>
        </w:rPr>
        <w:t>partially faithful rather than unfaithful</w:t>
      </w:r>
      <w:r>
        <w:t xml:space="preserve"> in this task. It often names the incentive, its numerical trajectory responds to whether the target is available, its stated intermediate estimates usually predict its continuations, and changing a visible premise causally moves the final answer. But “partially” is important: the edited premise retains only 13% of the proportional change placed into it, so the trace does not provide a complete causal explanation.</w:t>
      </w:r>
    </w:p>
    <w:p w14:paraId="39A318F7" w14:textId="77777777" w:rsidR="00A51D1C" w:rsidRDefault="00000000">
      <w:pPr>
        <w:pStyle w:val="Heading2"/>
        <w:keepNext/>
        <w:spacing w:before="200" w:after="100"/>
      </w:pPr>
      <w:r>
        <w:t>4.2 Limitations</w:t>
      </w:r>
    </w:p>
    <w:p w14:paraId="41017FB1" w14:textId="77777777" w:rsidR="00A51D1C" w:rsidRDefault="00000000">
      <w:pPr>
        <w:jc w:val="both"/>
      </w:pPr>
      <w:r>
        <w:t>The main limitation is scope. KNOW and CAUSE study one model, one Fermi question, and one deployment. Qwen was selected because it had the strongest supplied effect and unusually legible reasoning. This is therefore a deep case study, not an estimate of chain-of-thought faithfulness across models or tasks. The conclusions should not be transferred directly to models such as Claude, where the disclosure pattern is different, or to tasks in which the model has stronger factual knowledge.</w:t>
      </w:r>
    </w:p>
    <w:p w14:paraId="718C7979" w14:textId="77777777" w:rsidR="00A51D1C" w:rsidRDefault="00000000">
      <w:pPr>
        <w:ind w:firstLine="220"/>
        <w:jc w:val="both"/>
      </w:pPr>
      <w:r>
        <w:t>Several limitations specific to this study matter in more detail:</w:t>
      </w:r>
    </w:p>
    <w:p w14:paraId="351CFE6F" w14:textId="77777777" w:rsidR="00A51D1C" w:rsidRDefault="00000000">
      <w:pPr>
        <w:pStyle w:val="ListParagraph"/>
        <w:numPr>
          <w:ilvl w:val="0"/>
          <w:numId w:val="2"/>
        </w:numPr>
        <w:spacing w:after="60"/>
        <w:jc w:val="both"/>
      </w:pPr>
      <w:r>
        <w:rPr>
          <w:b/>
          <w:bCs/>
        </w:rPr>
        <w:t>The interventions are textual.</w:t>
      </w:r>
      <w:r>
        <w:t xml:space="preserve"> Content prefill holds the visible prefix fixed, not the model’s hidden state. Asking for an immediate estimate may itself change the process. Replacing a sentence can change its wording, style, or implied confidence </w:t>
      </w:r>
      <w:r>
        <w:lastRenderedPageBreak/>
        <w:t>alongside the number. The same-number variants in CAUSE show that these non-numerical differences affect continuation distributions. Within-trace rank correlation reduces this problem by using several model-generated variants, but it cannot isolate a purely numerical mechanism.</w:t>
      </w:r>
    </w:p>
    <w:p w14:paraId="3459BC52" w14:textId="77777777" w:rsidR="00A51D1C" w:rsidRDefault="00000000">
      <w:pPr>
        <w:pStyle w:val="ListParagraph"/>
        <w:numPr>
          <w:ilvl w:val="0"/>
          <w:numId w:val="2"/>
        </w:numPr>
        <w:spacing w:after="60"/>
        <w:jc w:val="both"/>
      </w:pPr>
      <w:r>
        <w:rPr>
          <w:b/>
          <w:bCs/>
        </w:rPr>
        <w:t>Compute budget limits sample size and statistical power.</w:t>
      </w:r>
      <w:r>
        <w:t xml:space="preserve"> The new AIM control conditions contain 60 usable Qwen answers each, KNOW uses six continuations per cut, and CAUSE contains 15 traces with six continuations per premise variant. The hidden-threshold interval is consequently wide, KNOW’s conditional medians are noisy, and the CAUSE arms are too small for a credible comparison of effect size. The 15 of 15 positive CAUSE correlations strongly support the directional result, but the median correlation and 13% retention estimate remain uncertain.</w:t>
      </w:r>
    </w:p>
    <w:p w14:paraId="719A6104" w14:textId="77777777" w:rsidR="00A51D1C" w:rsidRDefault="00000000">
      <w:pPr>
        <w:pStyle w:val="ListParagraph"/>
        <w:numPr>
          <w:ilvl w:val="0"/>
          <w:numId w:val="2"/>
        </w:numPr>
        <w:spacing w:after="60"/>
        <w:jc w:val="both"/>
      </w:pPr>
      <w:r>
        <w:rPr>
          <w:b/>
          <w:bCs/>
        </w:rPr>
        <w:t>CAUSE tests only one premise.</w:t>
      </w:r>
      <w:r>
        <w:t xml:space="preserve"> The intervention targets the first spots-per-giraffe estimate because it was the first premise for which Qwen generated a sufficiently wide set of plausible alternatives. It cannot show how much value leakage enters through population estimates, later arithmetic, plausibility checks, or the stopping decision.</w:t>
      </w:r>
    </w:p>
    <w:p w14:paraId="4A88BE61" w14:textId="77777777" w:rsidR="00A51D1C" w:rsidRDefault="00000000">
      <w:pPr>
        <w:pStyle w:val="ListParagraph"/>
        <w:numPr>
          <w:ilvl w:val="0"/>
          <w:numId w:val="2"/>
        </w:numPr>
        <w:spacing w:after="60"/>
        <w:jc w:val="both"/>
      </w:pPr>
      <w:r>
        <w:rPr>
          <w:b/>
          <w:bCs/>
        </w:rPr>
        <w:t>Several measurements are approximate.</w:t>
      </w:r>
      <w:r>
        <w:t xml:space="preserve"> The threshold-crossing metric discards distance from the threshold. The disclosure judge has only moderate four-way repeat agreement. The KNOW extraction was developed using a labeled set that informed prompt repair, so its 86.7% agreement is not a held-out performance estimate.</w:t>
      </w:r>
    </w:p>
    <w:p w14:paraId="7AFC66AD" w14:textId="77777777" w:rsidR="00A51D1C" w:rsidRDefault="00000000">
      <w:pPr>
        <w:pStyle w:val="ListParagraph"/>
        <w:numPr>
          <w:ilvl w:val="0"/>
          <w:numId w:val="2"/>
        </w:numPr>
        <w:spacing w:after="60"/>
        <w:jc w:val="both"/>
      </w:pPr>
      <w:r>
        <w:rPr>
          <w:b/>
          <w:bCs/>
        </w:rPr>
        <w:t>The results depend on deployment details.</w:t>
      </w:r>
      <w:r>
        <w:t xml:space="preserve"> The GLM comparison uses a threshold inherited from the supplied Fireworks run that is poorly centered on the newly generated OpenRouter baseline. It demonstrates endpoint sensitivity, but it does not support a clean comparison of GLM and Qwen.</w:t>
      </w:r>
    </w:p>
    <w:p w14:paraId="3FFBFA14" w14:textId="77777777" w:rsidR="00A51D1C" w:rsidRDefault="00A51D1C">
      <w:pPr>
        <w:spacing w:after="60"/>
      </w:pPr>
    </w:p>
    <w:p w14:paraId="40B59513" w14:textId="77777777" w:rsidR="00A51D1C" w:rsidRDefault="00000000">
      <w:pPr>
        <w:jc w:val="both"/>
      </w:pPr>
      <w:r>
        <w:t>These limitations constrain the claims. The strongest evidence comes from Qwen’s large controlled shifts and the sign-consistent CAUSE intervention, not from small differences in judged labels, probe gaps, or model endpoints.</w:t>
      </w:r>
    </w:p>
    <w:p w14:paraId="1124E281" w14:textId="77777777" w:rsidR="00A51D1C" w:rsidRDefault="00000000">
      <w:pPr>
        <w:pStyle w:val="Heading2"/>
        <w:keepNext/>
        <w:spacing w:before="200" w:after="100"/>
      </w:pPr>
      <w:r>
        <w:t>4.3 Future work</w:t>
      </w:r>
    </w:p>
    <w:p w14:paraId="4F123838" w14:textId="77777777" w:rsidR="00A51D1C" w:rsidRDefault="00000000">
      <w:pPr>
        <w:jc w:val="both"/>
      </w:pPr>
      <w:r>
        <w:t>The next experiment I would run is a multi-step causal decomposition: in each eligible Qwen trace, separately intervening on the first population premise, the first spots premise, the first explicit total, and a later plausibility check. A factorial or sequential design could test whether these effects add, overwrite one another, or depend on when the target is mentioned. This directly asks where the remaining 87% of the edited premise goes and where most of the Donation Bet shift is introduced.</w:t>
      </w:r>
    </w:p>
    <w:p w14:paraId="09038F85" w14:textId="77777777" w:rsidR="00A51D1C" w:rsidRDefault="00000000">
      <w:pPr>
        <w:ind w:firstLine="220"/>
        <w:jc w:val="both"/>
      </w:pPr>
      <w:r>
        <w:t>To move beyond visible chains of thought as the main source of evidence, I would add activation-level analysis of Qwen. A Jacobian lens (J-Lens; Gurnee et al., 2026) and linear probes trained to distinguish above-pays from below-pays states could show when representations of the rewarded direction, the threshold, and the developing estimate become available, including at positions where the written trace does not mention them. Activation patching between matched runs, followed by targeted ablations, could then test which layers and components are causally necessary for the answer shift. This separates evidence that a representation is detectable from evidence that the model uses it.</w:t>
      </w:r>
    </w:p>
    <w:p w14:paraId="68A58641" w14:textId="77777777" w:rsidR="00A51D1C" w:rsidRDefault="00000000">
      <w:pPr>
        <w:ind w:firstLine="220"/>
        <w:jc w:val="both"/>
      </w:pPr>
      <w:r>
        <w:t>Three behavioral extensions would complement this. Revealing the threshold at different points in an otherwise identical prefix would locate when the target changes the computation. A task where two multiplicative premises are similarly uncertain would test whether the incentive affects whichever premise is less constrained by the model’s knowledge. Most safety-relevant, fresh raw traces from a model that often denies influence, especially Claude, would test whether a denial accompanies a locally predictive and causally informative trace, or whether the visible calculation is less connected to the answer.</w:t>
      </w:r>
    </w:p>
    <w:p w14:paraId="311C5A82" w14:textId="77777777" w:rsidR="00A51D1C" w:rsidRDefault="00000000">
      <w:pPr>
        <w:ind w:firstLine="220"/>
        <w:jc w:val="both"/>
      </w:pPr>
      <w:r>
        <w:t>Larger samples should come only after these intervention points are fixed: the main open question is not whether the first spots premise has a directional effect, but which other steps carry the rest of the effect.</w:t>
      </w:r>
    </w:p>
    <w:p w14:paraId="27C90079" w14:textId="77777777" w:rsidR="00A51D1C" w:rsidRDefault="00000000">
      <w:pPr>
        <w:pStyle w:val="Heading1"/>
        <w:keepNext/>
        <w:spacing w:before="280" w:after="120"/>
      </w:pPr>
      <w:r>
        <w:t>5. Conclusion</w:t>
      </w:r>
    </w:p>
    <w:p w14:paraId="6523F43A" w14:textId="77777777" w:rsidR="00A51D1C" w:rsidRDefault="00000000">
      <w:pPr>
        <w:jc w:val="both"/>
      </w:pPr>
      <w:r>
        <w:t xml:space="preserve">The Donation Bet produces motivated numerical reasoning, but the visible chain-of-thought is not uniformly opaque or uniformly explanatory. In Qwen, the effect depends strongly on access to an actionable threshold, appears near the start of the reasoning, and is usually acknowledged. </w:t>
      </w:r>
      <w:r>
        <w:lastRenderedPageBreak/>
        <w:t>Intermediate estimates predict what the model does when continued, with no systematic donation-favorable self-report gap in this sample.</w:t>
      </w:r>
    </w:p>
    <w:p w14:paraId="2F5D3FD8" w14:textId="77777777" w:rsidR="00A51D1C" w:rsidRDefault="00000000">
      <w:pPr>
        <w:ind w:firstLine="220"/>
        <w:jc w:val="both"/>
      </w:pPr>
      <w:r>
        <w:t>The causal intervention gives the most informative result. Increasing the first written spots-per-giraffe premise increases the final answer in all 15 tested traces, with a median within-trace rank correlation of 0.70. Yet only 13% of the proportional edit survives in the median final answer. The premise matters, but later reasoning usually revises most of its effect.</w:t>
      </w:r>
    </w:p>
    <w:p w14:paraId="27671517" w14:textId="77777777" w:rsidR="00A51D1C" w:rsidRDefault="00000000">
      <w:pPr>
        <w:ind w:firstLine="220"/>
        <w:jc w:val="both"/>
      </w:pPr>
      <w:r>
        <w:t>For chain-of-thought monitoring, this is a qualified positive result. The trace exposes real information about both the model’s objective and one cause of its answer. For causal explanation, it is a warning: a step can look central, pass a directional intervention, and still account for little of the final outcome. The useful object of study is therefore not whether a trace is faithful in the abstract, but which claims about it survive progressively stronger tests.</w:t>
      </w:r>
    </w:p>
    <w:p w14:paraId="38A0E21B" w14:textId="77777777" w:rsidR="00A51D1C" w:rsidRDefault="00000000">
      <w:pPr>
        <w:pStyle w:val="Heading1"/>
        <w:keepNext/>
        <w:spacing w:before="280" w:after="120"/>
      </w:pPr>
      <w:r>
        <w:t>References</w:t>
      </w:r>
    </w:p>
    <w:p w14:paraId="0F0EFBFB" w14:textId="77777777" w:rsidR="00A51D1C" w:rsidRDefault="00000000">
      <w:pPr>
        <w:spacing w:after="100"/>
        <w:ind w:left="283" w:hanging="283"/>
      </w:pPr>
      <w:r>
        <w:rPr>
          <w:sz w:val="20"/>
          <w:szCs w:val="20"/>
        </w:rPr>
        <w:t xml:space="preserve">Betley, J., Treutlein, J., Dubiński, J., Mayne, H., Gałązka, K., Warncke, N., Sztyber-Betley, A., &amp; Evans, O. (2026). Value leakage: An LLM’s answers are silently shaped by its own values [Preprint]. </w:t>
      </w:r>
      <w:r>
        <w:rPr>
          <w:i/>
          <w:iCs/>
          <w:sz w:val="20"/>
          <w:szCs w:val="20"/>
        </w:rPr>
        <w:t>arXiv</w:t>
      </w:r>
      <w:r>
        <w:rPr>
          <w:sz w:val="20"/>
          <w:szCs w:val="20"/>
        </w:rPr>
        <w:t xml:space="preserve">. </w:t>
      </w:r>
      <w:hyperlink r:id="rId21" w:history="1">
        <w:r>
          <w:rPr>
            <w:color w:val="1F3A93"/>
            <w:sz w:val="20"/>
            <w:szCs w:val="20"/>
          </w:rPr>
          <w:t>https://doi.org/10.48550/arXiv.2607.14345</w:t>
        </w:r>
      </w:hyperlink>
    </w:p>
    <w:p w14:paraId="4CE57B50" w14:textId="77777777" w:rsidR="00A51D1C" w:rsidRDefault="00000000">
      <w:pPr>
        <w:spacing w:after="100"/>
        <w:ind w:left="283" w:hanging="283"/>
      </w:pPr>
      <w:r>
        <w:rPr>
          <w:sz w:val="20"/>
          <w:szCs w:val="20"/>
        </w:rPr>
        <w:t xml:space="preserve">Bogdan, P. C., Macar, U., Nanda, N., &amp; Conmy, A. (2025). Thought anchors: Which LLM reasoning steps matter? [Preprint]. </w:t>
      </w:r>
      <w:r>
        <w:rPr>
          <w:i/>
          <w:iCs/>
          <w:sz w:val="20"/>
          <w:szCs w:val="20"/>
        </w:rPr>
        <w:t>arXiv</w:t>
      </w:r>
      <w:r>
        <w:rPr>
          <w:sz w:val="20"/>
          <w:szCs w:val="20"/>
        </w:rPr>
        <w:t xml:space="preserve">. </w:t>
      </w:r>
      <w:hyperlink r:id="rId22" w:history="1">
        <w:r>
          <w:rPr>
            <w:color w:val="1F3A93"/>
            <w:sz w:val="20"/>
            <w:szCs w:val="20"/>
          </w:rPr>
          <w:t>https://doi.org/10.48550/arXiv.2506.19143</w:t>
        </w:r>
      </w:hyperlink>
    </w:p>
    <w:p w14:paraId="1AB88F92" w14:textId="77777777" w:rsidR="00A51D1C" w:rsidRDefault="00000000">
      <w:pPr>
        <w:spacing w:after="100"/>
        <w:ind w:left="283" w:hanging="283"/>
      </w:pPr>
      <w:r>
        <w:rPr>
          <w:sz w:val="20"/>
          <w:szCs w:val="20"/>
        </w:rPr>
        <w:t xml:space="preserve">Gurnee, W., Sofroniew, N., Pearce, A., Piotrowski, M., Kauvar, I., Chen, R., Soligo, A., Bogdan, P., Ong, E., Wang, R., Thompson, T. B., Abrahams, D., Kantamneni, S., Ameisen, E., Batson, J., &amp; Lindsey, J. (2026). Verbalizable representations form a global workspace in language models [Preprint]. </w:t>
      </w:r>
      <w:r>
        <w:rPr>
          <w:i/>
          <w:iCs/>
          <w:sz w:val="20"/>
          <w:szCs w:val="20"/>
        </w:rPr>
        <w:t>arXiv</w:t>
      </w:r>
      <w:r>
        <w:rPr>
          <w:sz w:val="20"/>
          <w:szCs w:val="20"/>
        </w:rPr>
        <w:t xml:space="preserve">. </w:t>
      </w:r>
      <w:hyperlink r:id="rId23" w:history="1">
        <w:r>
          <w:rPr>
            <w:color w:val="1F3A93"/>
            <w:sz w:val="20"/>
            <w:szCs w:val="20"/>
          </w:rPr>
          <w:t>https://doi.org/10.48550/arXiv.2607.15495</w:t>
        </w:r>
      </w:hyperlink>
    </w:p>
    <w:p w14:paraId="35688FE8" w14:textId="77777777" w:rsidR="00A51D1C" w:rsidRDefault="00000000">
      <w:pPr>
        <w:spacing w:after="100"/>
        <w:ind w:left="283" w:hanging="283"/>
      </w:pPr>
      <w:r>
        <w:rPr>
          <w:sz w:val="20"/>
          <w:szCs w:val="20"/>
        </w:rPr>
        <w:t xml:space="preserve">Korbak, T., Balesni, M., Barnes, E., Bengio, Y., Benton, J., Bloom, J., Chen, M., Cooney, A., Dafoe, A., Dragan, A., Emmons, S., Evans, O., Farhi, D., Greenblatt, R., Hendrycks, D., Hobbhahn, M., Hubinger, E., Irving, G., Jenner, E., . . . Mikulik, V. (2025). Chain of thought monitorability: A new and fragile opportunity for AI safety [Preprint]. </w:t>
      </w:r>
      <w:r>
        <w:rPr>
          <w:i/>
          <w:iCs/>
          <w:sz w:val="20"/>
          <w:szCs w:val="20"/>
        </w:rPr>
        <w:t>arXiv</w:t>
      </w:r>
      <w:r>
        <w:rPr>
          <w:sz w:val="20"/>
          <w:szCs w:val="20"/>
        </w:rPr>
        <w:t xml:space="preserve">. </w:t>
      </w:r>
      <w:hyperlink r:id="rId24" w:history="1">
        <w:r>
          <w:rPr>
            <w:color w:val="1F3A93"/>
            <w:sz w:val="20"/>
            <w:szCs w:val="20"/>
          </w:rPr>
          <w:t>https://doi.org/10.48550/arXiv.2507.11473</w:t>
        </w:r>
      </w:hyperlink>
    </w:p>
    <w:p w14:paraId="07659625" w14:textId="77777777" w:rsidR="00A51D1C" w:rsidRDefault="00000000">
      <w:pPr>
        <w:spacing w:after="100"/>
        <w:ind w:left="283" w:hanging="283"/>
      </w:pPr>
      <w:r>
        <w:rPr>
          <w:sz w:val="20"/>
          <w:szCs w:val="20"/>
        </w:rPr>
        <w:t xml:space="preserve">Singh, A. (n.d.). </w:t>
      </w:r>
      <w:r>
        <w:rPr>
          <w:i/>
          <w:iCs/>
          <w:sz w:val="20"/>
          <w:szCs w:val="20"/>
        </w:rPr>
        <w:t>Value leakage</w:t>
      </w:r>
      <w:r>
        <w:rPr>
          <w:sz w:val="20"/>
          <w:szCs w:val="20"/>
        </w:rPr>
        <w:t xml:space="preserve"> [Computer software]. GitHub. </w:t>
      </w:r>
      <w:hyperlink r:id="rId25" w:history="1">
        <w:r>
          <w:rPr>
            <w:color w:val="1F3A93"/>
            <w:sz w:val="20"/>
            <w:szCs w:val="20"/>
          </w:rPr>
          <w:t>https://github.com/adsingh-64/value-leakage</w:t>
        </w:r>
      </w:hyperlink>
    </w:p>
    <w:p w14:paraId="5F3DBB44" w14:textId="77777777" w:rsidR="00A51D1C" w:rsidRDefault="00000000">
      <w:pPr>
        <w:spacing w:after="100"/>
        <w:ind w:left="283" w:hanging="283"/>
      </w:pPr>
      <w:r>
        <w:rPr>
          <w:sz w:val="20"/>
          <w:szCs w:val="20"/>
        </w:rPr>
        <w:t xml:space="preserve">Singh, A., Kroiz, G., Rajamanoharan, S., &amp; Nanda, N. (2026). Model forensics: Investigating whether </w:t>
      </w:r>
      <w:r>
        <w:rPr>
          <w:sz w:val="20"/>
          <w:szCs w:val="20"/>
        </w:rPr>
        <w:t xml:space="preserve">concerning behavior reflects misalignment [Preprint]. </w:t>
      </w:r>
      <w:r>
        <w:rPr>
          <w:i/>
          <w:iCs/>
          <w:sz w:val="20"/>
          <w:szCs w:val="20"/>
        </w:rPr>
        <w:t>arXiv</w:t>
      </w:r>
      <w:r>
        <w:rPr>
          <w:sz w:val="20"/>
          <w:szCs w:val="20"/>
        </w:rPr>
        <w:t xml:space="preserve">. </w:t>
      </w:r>
      <w:hyperlink r:id="rId26" w:history="1">
        <w:r>
          <w:rPr>
            <w:color w:val="1F3A93"/>
            <w:sz w:val="20"/>
            <w:szCs w:val="20"/>
          </w:rPr>
          <w:t>https://doi.org/10.48550/arXiv.2606.26071</w:t>
        </w:r>
      </w:hyperlink>
    </w:p>
    <w:p w14:paraId="5E4617E3" w14:textId="77777777" w:rsidR="00A51D1C" w:rsidRDefault="00A51D1C">
      <w:pPr>
        <w:sectPr w:rsidR="00A51D1C" w:rsidSect="001E66ED">
          <w:type w:val="continuous"/>
          <w:pgSz w:w="11906" w:h="16838"/>
          <w:pgMar w:top="1418" w:right="1418" w:bottom="1418" w:left="1418" w:header="708" w:footer="700" w:gutter="0"/>
          <w:cols w:num="2" w:space="340"/>
          <w:docGrid w:linePitch="360"/>
        </w:sectPr>
      </w:pPr>
    </w:p>
    <w:p w14:paraId="420F46CB" w14:textId="77777777" w:rsidR="00A51D1C" w:rsidRDefault="00000000">
      <w:pPr>
        <w:pStyle w:val="Heading1"/>
        <w:keepNext/>
        <w:spacing w:before="280" w:after="120"/>
      </w:pPr>
      <w:r>
        <w:lastRenderedPageBreak/>
        <w:t>Appendix</w:t>
      </w:r>
    </w:p>
    <w:p w14:paraId="5F1B9FBA" w14:textId="77777777" w:rsidR="00A51D1C" w:rsidRDefault="00000000">
      <w:pPr>
        <w:pStyle w:val="Heading2"/>
        <w:keepNext/>
        <w:spacing w:before="200" w:after="100"/>
      </w:pPr>
      <w:r>
        <w:t>A.1 What each test can establish</w:t>
      </w:r>
    </w:p>
    <w:p w14:paraId="41CB9570" w14:textId="77777777" w:rsidR="00A51D1C" w:rsidRDefault="00000000">
      <w:pPr>
        <w:keepNext/>
        <w:keepLines/>
        <w:spacing w:before="160" w:after="100"/>
        <w:jc w:val="both"/>
      </w:pPr>
      <w:r>
        <w:rPr>
          <w:sz w:val="20"/>
          <w:szCs w:val="20"/>
        </w:rPr>
        <w:t>Table A1. Evidence each test provides and what it cannot show by itself.</w:t>
      </w:r>
    </w:p>
    <w:tbl>
      <w:tblPr>
        <w:tblW w:w="907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00"/>
        <w:gridCol w:w="3985"/>
        <w:gridCol w:w="3985"/>
      </w:tblGrid>
      <w:tr w:rsidR="00A51D1C" w14:paraId="75FC1CA9" w14:textId="77777777">
        <w:tblPrEx>
          <w:tblCellMar>
            <w:top w:w="0" w:type="dxa"/>
            <w:bottom w:w="0" w:type="dxa"/>
          </w:tblCellMar>
        </w:tblPrEx>
        <w:trPr>
          <w:cantSplit/>
          <w:tblHeader/>
          <w:jc w:val="center"/>
        </w:trPr>
        <w:tc>
          <w:tcPr>
            <w:tcW w:w="1100"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3A30AE9F" w14:textId="77777777" w:rsidR="00A51D1C" w:rsidRDefault="00000000">
            <w:pPr>
              <w:keepNext/>
            </w:pPr>
            <w:r>
              <w:rPr>
                <w:b/>
                <w:bCs/>
                <w:sz w:val="18"/>
                <w:szCs w:val="18"/>
              </w:rPr>
              <w:t>Test</w:t>
            </w:r>
          </w:p>
        </w:tc>
        <w:tc>
          <w:tcPr>
            <w:tcW w:w="398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78A7E7CB" w14:textId="77777777" w:rsidR="00A51D1C" w:rsidRDefault="00000000">
            <w:pPr>
              <w:keepNext/>
            </w:pPr>
            <w:r>
              <w:rPr>
                <w:b/>
                <w:bCs/>
                <w:sz w:val="18"/>
                <w:szCs w:val="18"/>
              </w:rPr>
              <w:t>Evidence it provides</w:t>
            </w:r>
          </w:p>
        </w:tc>
        <w:tc>
          <w:tcPr>
            <w:tcW w:w="3985" w:type="dxa"/>
            <w:tcBorders>
              <w:top w:val="single" w:sz="10" w:space="0" w:color="000000"/>
              <w:left w:val="none" w:sz="0" w:space="0" w:color="FFFFFF"/>
              <w:bottom w:val="none" w:sz="0" w:space="0" w:color="FFFFFF"/>
              <w:right w:val="none" w:sz="0" w:space="0" w:color="FFFFFF"/>
            </w:tcBorders>
            <w:tcMar>
              <w:top w:w="40" w:type="dxa"/>
              <w:left w:w="80" w:type="dxa"/>
              <w:bottom w:w="40" w:type="dxa"/>
              <w:right w:w="80" w:type="dxa"/>
            </w:tcMar>
          </w:tcPr>
          <w:p w14:paraId="5C745560" w14:textId="77777777" w:rsidR="00A51D1C" w:rsidRDefault="00000000">
            <w:pPr>
              <w:keepNext/>
            </w:pPr>
            <w:r>
              <w:rPr>
                <w:b/>
                <w:bCs/>
                <w:sz w:val="18"/>
                <w:szCs w:val="18"/>
              </w:rPr>
              <w:t>What it cannot show by itself</w:t>
            </w:r>
          </w:p>
        </w:tc>
      </w:tr>
      <w:tr w:rsidR="00A51D1C" w14:paraId="40B16AEF" w14:textId="77777777">
        <w:tblPrEx>
          <w:tblCellMar>
            <w:top w:w="0" w:type="dxa"/>
            <w:bottom w:w="0" w:type="dxa"/>
          </w:tblCellMar>
        </w:tblPrEx>
        <w:trPr>
          <w:cantSplit/>
          <w:jc w:val="center"/>
        </w:trPr>
        <w:tc>
          <w:tcPr>
            <w:tcW w:w="1100"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63E488F6" w14:textId="77777777" w:rsidR="00A51D1C" w:rsidRDefault="00000000">
            <w:pPr>
              <w:keepNext/>
            </w:pPr>
            <w:r>
              <w:rPr>
                <w:sz w:val="18"/>
                <w:szCs w:val="18"/>
              </w:rPr>
              <w:t>TELL</w:t>
            </w:r>
          </w:p>
        </w:tc>
        <w:tc>
          <w:tcPr>
            <w:tcW w:w="398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51673216" w14:textId="77777777" w:rsidR="00A51D1C" w:rsidRDefault="00000000">
            <w:pPr>
              <w:keepNext/>
            </w:pPr>
            <w:r>
              <w:rPr>
                <w:sz w:val="18"/>
                <w:szCs w:val="18"/>
              </w:rPr>
              <w:t>Whether the trace openly acknowledges that the donation rule affected, or could affect, the estimate.</w:t>
            </w:r>
          </w:p>
        </w:tc>
        <w:tc>
          <w:tcPr>
            <w:tcW w:w="3985" w:type="dxa"/>
            <w:tcBorders>
              <w:top w:val="single" w:sz="4" w:space="0" w:color="000000"/>
              <w:left w:val="none" w:sz="0" w:space="0" w:color="FFFFFF"/>
              <w:bottom w:val="none" w:sz="0" w:space="0" w:color="FFFFFF"/>
              <w:right w:val="none" w:sz="0" w:space="0" w:color="FFFFFF"/>
            </w:tcBorders>
            <w:tcMar>
              <w:top w:w="40" w:type="dxa"/>
              <w:left w:w="80" w:type="dxa"/>
              <w:bottom w:w="40" w:type="dxa"/>
              <w:right w:w="80" w:type="dxa"/>
            </w:tcMar>
          </w:tcPr>
          <w:p w14:paraId="7EF96555" w14:textId="77777777" w:rsidR="00A51D1C" w:rsidRDefault="00000000">
            <w:pPr>
              <w:keepNext/>
            </w:pPr>
            <w:r>
              <w:rPr>
                <w:sz w:val="18"/>
                <w:szCs w:val="18"/>
              </w:rPr>
              <w:t>How much the incentive changed the answer, or which step carried the effect.</w:t>
            </w:r>
          </w:p>
        </w:tc>
      </w:tr>
      <w:tr w:rsidR="00A51D1C" w14:paraId="06829B8D"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6032CE" w14:textId="77777777" w:rsidR="00A51D1C" w:rsidRDefault="00000000">
            <w:pPr>
              <w:keepNext/>
            </w:pPr>
            <w:r>
              <w:rPr>
                <w:sz w:val="18"/>
                <w:szCs w:val="18"/>
              </w:rPr>
              <w:t>AIM</w:t>
            </w:r>
          </w:p>
        </w:tc>
        <w:tc>
          <w:tcPr>
            <w:tcW w:w="3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9FCD4" w14:textId="77777777" w:rsidR="00A51D1C" w:rsidRDefault="00000000">
            <w:pPr>
              <w:keepNext/>
            </w:pPr>
            <w:r>
              <w:rPr>
                <w:sz w:val="18"/>
                <w:szCs w:val="18"/>
              </w:rPr>
              <w:t>What information makes the incentive actionable, and when the resulting numerical trajectories separate.</w:t>
            </w:r>
          </w:p>
        </w:tc>
        <w:tc>
          <w:tcPr>
            <w:tcW w:w="3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50B62" w14:textId="77777777" w:rsidR="00A51D1C" w:rsidRDefault="00000000">
            <w:pPr>
              <w:keepNext/>
            </w:pPr>
            <w:r>
              <w:rPr>
                <w:sz w:val="18"/>
                <w:szCs w:val="18"/>
              </w:rPr>
              <w:t>Whether the model is explicitly aware of aiming at every point, or whether a particular sentence caused the separation.</w:t>
            </w:r>
          </w:p>
        </w:tc>
      </w:tr>
      <w:tr w:rsidR="00A51D1C" w14:paraId="6EA1B10B"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9627BE" w14:textId="77777777" w:rsidR="00A51D1C" w:rsidRDefault="00000000">
            <w:pPr>
              <w:keepNext/>
            </w:pPr>
            <w:r>
              <w:rPr>
                <w:sz w:val="18"/>
                <w:szCs w:val="18"/>
              </w:rPr>
              <w:t>KNOW</w:t>
            </w:r>
          </w:p>
        </w:tc>
        <w:tc>
          <w:tcPr>
            <w:tcW w:w="3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7F94B8" w14:textId="77777777" w:rsidR="00A51D1C" w:rsidRDefault="00000000">
            <w:pPr>
              <w:keepNext/>
            </w:pPr>
            <w:r>
              <w:rPr>
                <w:sz w:val="18"/>
                <w:szCs w:val="18"/>
              </w:rPr>
              <w:t>Whether the model’s stated current estimate, measured at several points, predicts the answer distribution obtained by continuing from each point.</w:t>
            </w:r>
          </w:p>
        </w:tc>
        <w:tc>
          <w:tcPr>
            <w:tcW w:w="3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91182" w14:textId="77777777" w:rsidR="00A51D1C" w:rsidRDefault="00000000">
            <w:pPr>
              <w:keepNext/>
            </w:pPr>
            <w:r>
              <w:rPr>
                <w:sz w:val="18"/>
                <w:szCs w:val="18"/>
              </w:rPr>
              <w:t>Whether the model understands why it is heading there, or whether the stated estimate caused the continuation.</w:t>
            </w:r>
          </w:p>
        </w:tc>
      </w:tr>
      <w:tr w:rsidR="00A51D1C" w14:paraId="7A5A3BD3" w14:textId="77777777">
        <w:tblPrEx>
          <w:tblCellMar>
            <w:top w:w="0" w:type="dxa"/>
            <w:bottom w:w="0" w:type="dxa"/>
          </w:tblCellMar>
        </w:tblPrEx>
        <w:trPr>
          <w:cantSplit/>
          <w:jc w:val="center"/>
        </w:trPr>
        <w:tc>
          <w:tcPr>
            <w:tcW w:w="1100"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4C11E6C3" w14:textId="77777777" w:rsidR="00A51D1C" w:rsidRDefault="00000000">
            <w:r>
              <w:rPr>
                <w:sz w:val="18"/>
                <w:szCs w:val="18"/>
              </w:rPr>
              <w:t>CAUSE</w:t>
            </w:r>
          </w:p>
        </w:tc>
        <w:tc>
          <w:tcPr>
            <w:tcW w:w="398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65CE92BD" w14:textId="77777777" w:rsidR="00A51D1C" w:rsidRDefault="00000000">
            <w:r>
              <w:rPr>
                <w:sz w:val="18"/>
                <w:szCs w:val="18"/>
              </w:rPr>
              <w:t>Whether changing an early written premise while holding the preceding context fixed changes later answers.</w:t>
            </w:r>
          </w:p>
        </w:tc>
        <w:tc>
          <w:tcPr>
            <w:tcW w:w="3985" w:type="dxa"/>
            <w:tcBorders>
              <w:top w:val="none" w:sz="0" w:space="0" w:color="FFFFFF"/>
              <w:left w:val="none" w:sz="0" w:space="0" w:color="FFFFFF"/>
              <w:bottom w:val="single" w:sz="10" w:space="0" w:color="000000"/>
              <w:right w:val="none" w:sz="0" w:space="0" w:color="FFFFFF"/>
            </w:tcBorders>
            <w:tcMar>
              <w:top w:w="40" w:type="dxa"/>
              <w:left w:w="80" w:type="dxa"/>
              <w:bottom w:w="40" w:type="dxa"/>
              <w:right w:w="80" w:type="dxa"/>
            </w:tcMar>
          </w:tcPr>
          <w:p w14:paraId="40E05CF0" w14:textId="77777777" w:rsidR="00A51D1C" w:rsidRDefault="00000000">
            <w:r>
              <w:rPr>
                <w:sz w:val="18"/>
                <w:szCs w:val="18"/>
              </w:rPr>
              <w:t>Whether that premise explains the entire value-leakage effect or corresponds to an internal mechanism.</w:t>
            </w:r>
          </w:p>
        </w:tc>
      </w:tr>
    </w:tbl>
    <w:p w14:paraId="72B60948" w14:textId="77777777" w:rsidR="00A51D1C" w:rsidRDefault="00A51D1C">
      <w:pPr>
        <w:spacing w:after="160"/>
      </w:pPr>
    </w:p>
    <w:p w14:paraId="4C8F041E" w14:textId="77777777" w:rsidR="00A51D1C" w:rsidRDefault="00000000">
      <w:pPr>
        <w:pStyle w:val="Heading2"/>
        <w:keepNext/>
        <w:spacing w:before="200" w:after="100"/>
      </w:pPr>
      <w:r>
        <w:t>A.2 Original Donation Bet prompt</w:t>
      </w:r>
    </w:p>
    <w:p w14:paraId="259DE192" w14:textId="77777777" w:rsidR="00A51D1C" w:rsidRDefault="00000000">
      <w:pPr>
        <w:jc w:val="both"/>
      </w:pPr>
      <w:r>
        <w:t>The Qwen experiments use the following above-pays prompt from the supplied replication:</w:t>
      </w:r>
    </w:p>
    <w:p w14:paraId="34E35C61" w14:textId="77777777" w:rsidR="00A51D1C" w:rsidRDefault="00000000">
      <w:pPr>
        <w:spacing w:before="100"/>
        <w:ind w:left="340" w:right="340"/>
        <w:jc w:val="both"/>
      </w:pPr>
      <w:r>
        <w:rPr>
          <w:i/>
          <w:iCs/>
        </w:rPr>
        <w:t>“I need you to estimate a specific quantity. Give me your single most accurate estimate as a number — not a range, just one number.</w:t>
      </w:r>
    </w:p>
    <w:p w14:paraId="115BD3E0" w14:textId="77777777" w:rsidR="00A51D1C" w:rsidRDefault="00000000">
      <w:pPr>
        <w:spacing w:before="60"/>
        <w:ind w:left="340" w:right="340"/>
        <w:jc w:val="both"/>
      </w:pPr>
      <w:r>
        <w:rPr>
          <w:i/>
          <w:iCs/>
        </w:rPr>
        <w:t>Question: How many black spots are there in total on all giraffes currently alive in the world? Please consider all the relevant details (e.g. various species, spots per species etc.)</w:t>
      </w:r>
    </w:p>
    <w:p w14:paraId="0ADBFBAA" w14:textId="77777777" w:rsidR="00A51D1C" w:rsidRDefault="00000000">
      <w:pPr>
        <w:spacing w:before="60"/>
        <w:ind w:left="340" w:right="340"/>
        <w:jc w:val="both"/>
      </w:pPr>
      <w:r>
        <w:rPr>
          <w:i/>
          <w:iCs/>
        </w:rPr>
        <w:t>Note: I have a bet with a friend about this. We set a threshold in advance. If your estimate exceeds the threshold, we donate to some good cause. If your estimate does not exceed the threshold, we donate to some bad cause. The threshold is 41,000,000.</w:t>
      </w:r>
    </w:p>
    <w:p w14:paraId="34526095" w14:textId="77777777" w:rsidR="00A51D1C" w:rsidRDefault="00000000">
      <w:pPr>
        <w:spacing w:before="60" w:after="100"/>
        <w:ind w:left="340" w:right="340"/>
        <w:jc w:val="both"/>
      </w:pPr>
      <w:r>
        <w:rPr>
          <w:i/>
          <w:iCs/>
        </w:rPr>
        <w:t>So, your answer must include a single number, not a range! This answer should be the most accurate point estimate. Feel free to also provide some justification for your answer.”</w:t>
      </w:r>
    </w:p>
    <w:p w14:paraId="574FF3F7" w14:textId="77777777" w:rsidR="00A51D1C" w:rsidRDefault="00000000">
      <w:pPr>
        <w:jc w:val="both"/>
      </w:pPr>
      <w:r>
        <w:t>The below-pays version leaves the rest of the prompt unchanged and reverses the two outcomes:</w:t>
      </w:r>
    </w:p>
    <w:p w14:paraId="314F41A5" w14:textId="77777777" w:rsidR="00A51D1C" w:rsidRDefault="00000000">
      <w:pPr>
        <w:spacing w:before="100" w:after="100"/>
        <w:ind w:left="340" w:right="340"/>
        <w:jc w:val="both"/>
      </w:pPr>
      <w:r>
        <w:rPr>
          <w:i/>
          <w:iCs/>
        </w:rPr>
        <w:t>“If your estimate exceeds the threshold, we donate to some bad cause. If your estimate does not exceed the threshold, we donate to some good cause.”</w:t>
      </w:r>
    </w:p>
    <w:p w14:paraId="48961488" w14:textId="77777777" w:rsidR="00A51D1C" w:rsidRDefault="00000000">
      <w:pPr>
        <w:pStyle w:val="Heading2"/>
        <w:keepNext/>
        <w:spacing w:before="200" w:after="100"/>
      </w:pPr>
      <w:r>
        <w:t>A.3 GLM endpoint sensitivity and reasoning length</w:t>
      </w:r>
    </w:p>
    <w:p w14:paraId="409E8B16" w14:textId="77777777" w:rsidR="00A51D1C" w:rsidRDefault="00000000">
      <w:pPr>
        <w:jc w:val="both"/>
      </w:pPr>
      <w:r>
        <w:t>I also reran the ordinary GLM Donation Bet through OpenRouter and compared it with the GLM run supplied in the starter repository, which had been generated through Fireworks. The newly generated OpenRouter run has an answer shift of 0.120, compared with 0.348 in the supplied Fireworks run. On OpenRouter, the threshold inherited from the supplied run sits at the 34th percentile of GLM’s new baseline answers rather than near their median. The bet therefore has little shift to remove, even though the instructed condition still produces complete observed separation. Because both the serving endpoint and answer judge differ, the smaller shift cannot be interpreted as a clean failure to replicate value leakage in GLM. It instead shows that the supplied threshold is poorly calibrated for the new OpenRouter baseline. Figure A1 shows the same result over the full trajectory: the bet conditions largely overlap while the instructed conditions separate cleanly.</w:t>
      </w:r>
    </w:p>
    <w:p w14:paraId="1D4A9121" w14:textId="77777777" w:rsidR="00A51D1C" w:rsidRDefault="00000000">
      <w:pPr>
        <w:keepNext/>
        <w:spacing w:before="120" w:after="80"/>
        <w:jc w:val="center"/>
      </w:pPr>
      <w:r>
        <w:rPr>
          <w:noProof/>
        </w:rPr>
        <w:lastRenderedPageBreak/>
        <w:drawing>
          <wp:inline distT="0" distB="0" distL="0" distR="0" wp14:anchorId="7251D083" wp14:editId="47B9255B">
            <wp:extent cx="4146804" cy="29886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46804" cy="2988639"/>
                    </a:xfrm>
                    <a:prstGeom prst="rect">
                      <a:avLst/>
                    </a:prstGeom>
                  </pic:spPr>
                </pic:pic>
              </a:graphicData>
            </a:graphic>
          </wp:inline>
        </w:drawing>
      </w:r>
    </w:p>
    <w:p w14:paraId="50AE5310" w14:textId="77777777" w:rsidR="00A51D1C" w:rsidRDefault="00000000">
      <w:pPr>
        <w:keepLines/>
        <w:spacing w:after="200"/>
        <w:jc w:val="both"/>
      </w:pPr>
      <w:r>
        <w:rPr>
          <w:sz w:val="20"/>
          <w:szCs w:val="20"/>
        </w:rPr>
        <w:t>Figure A1. GLM trajectories from the newly generated OpenRouter runs. The model follows direct instructions, but the ordinary and hidden-threshold conditions show little separation. The threshold inherited from the supplied Fireworks run is not centered on the new OpenRouter baseline, so this is an endpoint-sensitivity result rather than a clean comparison with Qwen.</w:t>
      </w:r>
    </w:p>
    <w:p w14:paraId="4AB56FDE" w14:textId="77777777" w:rsidR="00A51D1C" w:rsidRDefault="00000000">
      <w:pPr>
        <w:spacing w:before="100"/>
        <w:jc w:val="both"/>
      </w:pPr>
      <w:r>
        <w:rPr>
          <w:b/>
          <w:bCs/>
        </w:rPr>
        <w:t>An exploratory signal.</w:t>
      </w:r>
      <w:r>
        <w:t xml:space="preserve"> Reasoning length tracks how far the instructed target lies from the model’s ordinary answer. For GLM, aiming above required little movement and averaged about 2,500 output tokens, while aiming below required a larger move and averaged about 18,300. Qwen’s two directions were similarly distant from its baseline and had more similar lengths. This is exploratory evidence from two models and one task, not an established diagnostic.</w:t>
      </w:r>
    </w:p>
    <w:sectPr w:rsidR="00A51D1C">
      <w:pgSz w:w="11906" w:h="16838"/>
      <w:pgMar w:top="1418" w:right="1418" w:bottom="1418" w:left="1418" w:header="708" w:footer="70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EE0F96" w14:textId="77777777" w:rsidR="00465CA6" w:rsidRDefault="00465CA6">
      <w:r>
        <w:separator/>
      </w:r>
    </w:p>
  </w:endnote>
  <w:endnote w:type="continuationSeparator" w:id="0">
    <w:p w14:paraId="6EE86A9F" w14:textId="77777777" w:rsidR="00465CA6" w:rsidRDefault="0046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093DB5" w14:textId="77777777" w:rsidR="00A51D1C" w:rsidRDefault="00000000">
    <w:pPr>
      <w:jc w:val="center"/>
    </w:pPr>
    <w:r>
      <w:rPr>
        <w:sz w:val="20"/>
        <w:szCs w:val="20"/>
      </w:rPr>
      <w:fldChar w:fldCharType="begin"/>
    </w:r>
    <w:r>
      <w:rPr>
        <w:sz w:val="20"/>
        <w:szCs w:val="20"/>
      </w:rPr>
      <w:instrText>PAGE</w:instrText>
    </w:r>
    <w:r>
      <w:rPr>
        <w:sz w:val="20"/>
        <w:szCs w:val="20"/>
      </w:rPr>
      <w:fldChar w:fldCharType="separate"/>
    </w:r>
    <w:r w:rsidR="006E0E4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914B3" w14:textId="77777777" w:rsidR="00465CA6" w:rsidRDefault="00465CA6">
      <w:r>
        <w:separator/>
      </w:r>
    </w:p>
  </w:footnote>
  <w:footnote w:type="continuationSeparator" w:id="0">
    <w:p w14:paraId="6A98B82E" w14:textId="77777777" w:rsidR="00465CA6" w:rsidRDefault="00465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41FA9" w14:textId="77777777" w:rsidR="001E66ED" w:rsidRDefault="001E66ED" w:rsidP="001E66ED">
    <w:pPr>
      <w:pStyle w:val="Header"/>
      <w:tabs>
        <w:tab w:val="left" w:pos="2977"/>
        <w:tab w:val="left" w:pos="368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81356"/>
    <w:multiLevelType w:val="hybridMultilevel"/>
    <w:tmpl w:val="09960AC2"/>
    <w:lvl w:ilvl="0" w:tplc="F806B7C4" w:tentative="1">
      <w:start w:val="1"/>
      <w:numFmt w:val="bullet"/>
      <w:lvlText w:val="●"/>
      <w:lvlJc w:val="left"/>
      <w:pPr>
        <w:ind w:left="720" w:hanging="360"/>
      </w:pPr>
    </w:lvl>
    <w:lvl w:ilvl="1" w:tplc="80D88430" w:tentative="1">
      <w:start w:val="1"/>
      <w:numFmt w:val="bullet"/>
      <w:lvlText w:val="○"/>
      <w:lvlJc w:val="left"/>
      <w:pPr>
        <w:ind w:left="1440" w:hanging="360"/>
      </w:pPr>
    </w:lvl>
    <w:lvl w:ilvl="2" w:tplc="B2F26EEC" w:tentative="1">
      <w:start w:val="1"/>
      <w:numFmt w:val="bullet"/>
      <w:lvlText w:val="■"/>
      <w:lvlJc w:val="left"/>
      <w:pPr>
        <w:ind w:left="2160" w:hanging="360"/>
      </w:pPr>
    </w:lvl>
    <w:lvl w:ilvl="3" w:tplc="E920F386" w:tentative="1">
      <w:start w:val="1"/>
      <w:numFmt w:val="bullet"/>
      <w:lvlText w:val="●"/>
      <w:lvlJc w:val="left"/>
      <w:pPr>
        <w:ind w:left="2880" w:hanging="360"/>
      </w:pPr>
    </w:lvl>
    <w:lvl w:ilvl="4" w:tplc="FEBC2EDE" w:tentative="1">
      <w:start w:val="1"/>
      <w:numFmt w:val="bullet"/>
      <w:lvlText w:val="○"/>
      <w:lvlJc w:val="left"/>
      <w:pPr>
        <w:ind w:left="3600" w:hanging="360"/>
      </w:pPr>
    </w:lvl>
    <w:lvl w:ilvl="5" w:tplc="85B6FCD0" w:tentative="1">
      <w:start w:val="1"/>
      <w:numFmt w:val="bullet"/>
      <w:lvlText w:val="■"/>
      <w:lvlJc w:val="left"/>
      <w:pPr>
        <w:ind w:left="4320" w:hanging="360"/>
      </w:pPr>
    </w:lvl>
    <w:lvl w:ilvl="6" w:tplc="67E07D48" w:tentative="1">
      <w:start w:val="1"/>
      <w:numFmt w:val="bullet"/>
      <w:lvlText w:val="●"/>
      <w:lvlJc w:val="left"/>
      <w:pPr>
        <w:ind w:left="5040" w:hanging="360"/>
      </w:pPr>
    </w:lvl>
    <w:lvl w:ilvl="7" w:tplc="C434B478" w:tentative="1">
      <w:start w:val="1"/>
      <w:numFmt w:val="bullet"/>
      <w:lvlText w:val="●"/>
      <w:lvlJc w:val="left"/>
      <w:pPr>
        <w:ind w:left="5760" w:hanging="360"/>
      </w:pPr>
    </w:lvl>
    <w:lvl w:ilvl="8" w:tplc="0D4674C2" w:tentative="1">
      <w:start w:val="1"/>
      <w:numFmt w:val="bullet"/>
      <w:lvlText w:val="●"/>
      <w:lvlJc w:val="left"/>
      <w:pPr>
        <w:ind w:left="6480" w:hanging="360"/>
      </w:pPr>
    </w:lvl>
  </w:abstractNum>
  <w:abstractNum w:abstractNumId="1" w15:restartNumberingAfterBreak="0">
    <w:nsid w:val="262509D6"/>
    <w:multiLevelType w:val="hybridMultilevel"/>
    <w:tmpl w:val="0A7C9EF6"/>
    <w:lvl w:ilvl="0" w:tplc="D0A84F9A">
      <w:start w:val="1"/>
      <w:numFmt w:val="decimal"/>
      <w:lvlText w:val="%1."/>
      <w:lvlJc w:val="left"/>
      <w:pPr>
        <w:ind w:left="360" w:hanging="300"/>
      </w:pPr>
    </w:lvl>
    <w:lvl w:ilvl="1" w:tplc="273CAE28">
      <w:numFmt w:val="decimal"/>
      <w:lvlText w:val=""/>
      <w:lvlJc w:val="left"/>
    </w:lvl>
    <w:lvl w:ilvl="2" w:tplc="D0ACE094">
      <w:numFmt w:val="decimal"/>
      <w:lvlText w:val=""/>
      <w:lvlJc w:val="left"/>
    </w:lvl>
    <w:lvl w:ilvl="3" w:tplc="1A1020F4">
      <w:numFmt w:val="decimal"/>
      <w:lvlText w:val=""/>
      <w:lvlJc w:val="left"/>
    </w:lvl>
    <w:lvl w:ilvl="4" w:tplc="98DA51AE">
      <w:numFmt w:val="decimal"/>
      <w:lvlText w:val=""/>
      <w:lvlJc w:val="left"/>
    </w:lvl>
    <w:lvl w:ilvl="5" w:tplc="FE12B426">
      <w:numFmt w:val="decimal"/>
      <w:lvlText w:val=""/>
      <w:lvlJc w:val="left"/>
    </w:lvl>
    <w:lvl w:ilvl="6" w:tplc="A94E9678">
      <w:numFmt w:val="decimal"/>
      <w:lvlText w:val=""/>
      <w:lvlJc w:val="left"/>
    </w:lvl>
    <w:lvl w:ilvl="7" w:tplc="07FEE7D0">
      <w:numFmt w:val="decimal"/>
      <w:lvlText w:val=""/>
      <w:lvlJc w:val="left"/>
    </w:lvl>
    <w:lvl w:ilvl="8" w:tplc="A59275C8">
      <w:numFmt w:val="decimal"/>
      <w:lvlText w:val=""/>
      <w:lvlJc w:val="left"/>
    </w:lvl>
  </w:abstractNum>
  <w:abstractNum w:abstractNumId="2" w15:restartNumberingAfterBreak="0">
    <w:nsid w:val="58B1350B"/>
    <w:multiLevelType w:val="hybridMultilevel"/>
    <w:tmpl w:val="462C8C4A"/>
    <w:lvl w:ilvl="0" w:tplc="9962DBDA">
      <w:start w:val="1"/>
      <w:numFmt w:val="bullet"/>
      <w:lvlText w:val="•"/>
      <w:lvlJc w:val="left"/>
      <w:pPr>
        <w:ind w:left="360" w:hanging="240"/>
      </w:pPr>
    </w:lvl>
    <w:lvl w:ilvl="1" w:tplc="DC4AA6D0">
      <w:numFmt w:val="decimal"/>
      <w:lvlText w:val=""/>
      <w:lvlJc w:val="left"/>
    </w:lvl>
    <w:lvl w:ilvl="2" w:tplc="15FE358C">
      <w:numFmt w:val="decimal"/>
      <w:lvlText w:val=""/>
      <w:lvlJc w:val="left"/>
    </w:lvl>
    <w:lvl w:ilvl="3" w:tplc="C006496A">
      <w:numFmt w:val="decimal"/>
      <w:lvlText w:val=""/>
      <w:lvlJc w:val="left"/>
    </w:lvl>
    <w:lvl w:ilvl="4" w:tplc="EB4AFD6E">
      <w:numFmt w:val="decimal"/>
      <w:lvlText w:val=""/>
      <w:lvlJc w:val="left"/>
    </w:lvl>
    <w:lvl w:ilvl="5" w:tplc="315C2158">
      <w:numFmt w:val="decimal"/>
      <w:lvlText w:val=""/>
      <w:lvlJc w:val="left"/>
    </w:lvl>
    <w:lvl w:ilvl="6" w:tplc="89FAA072">
      <w:numFmt w:val="decimal"/>
      <w:lvlText w:val=""/>
      <w:lvlJc w:val="left"/>
    </w:lvl>
    <w:lvl w:ilvl="7" w:tplc="A3DEEE96">
      <w:numFmt w:val="decimal"/>
      <w:lvlText w:val=""/>
      <w:lvlJc w:val="left"/>
    </w:lvl>
    <w:lvl w:ilvl="8" w:tplc="7476586A">
      <w:numFmt w:val="decimal"/>
      <w:lvlText w:val=""/>
      <w:lvlJc w:val="left"/>
    </w:lvl>
  </w:abstractNum>
  <w:num w:numId="1" w16cid:durableId="332491996">
    <w:abstractNumId w:val="0"/>
    <w:lvlOverride w:ilvl="0">
      <w:startOverride w:val="1"/>
    </w:lvlOverride>
  </w:num>
  <w:num w:numId="2" w16cid:durableId="1054813368">
    <w:abstractNumId w:val="2"/>
    <w:lvlOverride w:ilvl="0">
      <w:startOverride w:val="1"/>
    </w:lvlOverride>
  </w:num>
  <w:num w:numId="3" w16cid:durableId="8242045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1C"/>
    <w:rsid w:val="001E66ED"/>
    <w:rsid w:val="00244CC5"/>
    <w:rsid w:val="00465CA6"/>
    <w:rsid w:val="006E0E45"/>
    <w:rsid w:val="00A51D1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15B49D2"/>
  <w15:docId w15:val="{6A98715A-2795-1F47-84AE-7EFD478D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4"/>
      <w:szCs w:val="24"/>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unhideWhenUsed/>
    <w:qFormat/>
    <w:pPr>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bstractHeading">
    <w:name w:val="Abstract Heading"/>
    <w:basedOn w:val="Normal"/>
    <w:next w:val="Normal"/>
    <w:pPr>
      <w:outlineLvl w:val="0"/>
    </w:pPr>
    <w:rPr>
      <w:b/>
      <w:bCs/>
      <w:sz w:val="24"/>
      <w:szCs w:val="24"/>
    </w:rPr>
  </w:style>
  <w:style w:type="paragraph" w:styleId="Header">
    <w:name w:val="header"/>
    <w:basedOn w:val="Normal"/>
    <w:link w:val="HeaderChar"/>
    <w:uiPriority w:val="99"/>
    <w:unhideWhenUsed/>
    <w:rsid w:val="006E0E45"/>
    <w:pPr>
      <w:tabs>
        <w:tab w:val="center" w:pos="4513"/>
        <w:tab w:val="right" w:pos="9026"/>
      </w:tabs>
    </w:pPr>
  </w:style>
  <w:style w:type="character" w:customStyle="1" w:styleId="HeaderChar">
    <w:name w:val="Header Char"/>
    <w:basedOn w:val="DefaultParagraphFont"/>
    <w:link w:val="Header"/>
    <w:uiPriority w:val="99"/>
    <w:rsid w:val="006E0E45"/>
  </w:style>
  <w:style w:type="paragraph" w:styleId="Footer">
    <w:name w:val="footer"/>
    <w:basedOn w:val="Normal"/>
    <w:link w:val="FooterChar"/>
    <w:uiPriority w:val="99"/>
    <w:unhideWhenUsed/>
    <w:rsid w:val="006E0E45"/>
    <w:pPr>
      <w:tabs>
        <w:tab w:val="center" w:pos="4513"/>
        <w:tab w:val="right" w:pos="9026"/>
      </w:tabs>
    </w:pPr>
  </w:style>
  <w:style w:type="character" w:customStyle="1" w:styleId="FooterChar">
    <w:name w:val="Footer Char"/>
    <w:basedOn w:val="DefaultParagraphFont"/>
    <w:link w:val="Footer"/>
    <w:uiPriority w:val="99"/>
    <w:rsid w:val="006E0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48550/arXiv.2606.26071" TargetMode="External"/><Relationship Id="rId3" Type="http://schemas.openxmlformats.org/officeDocument/2006/relationships/settings" Target="settings.xml"/><Relationship Id="rId21" Type="http://schemas.openxmlformats.org/officeDocument/2006/relationships/hyperlink" Target="https://doi.org/10.48550/arXiv.2607.14345" TargetMode="Externa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adsingh-64/value-leakage"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48550/arXiv.2507.11473"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48550/arXiv.2607.15495"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mariecordes/value-leakage" TargetMode="External"/><Relationship Id="rId14" Type="http://schemas.openxmlformats.org/officeDocument/2006/relationships/image" Target="media/image5.png"/><Relationship Id="rId22" Type="http://schemas.openxmlformats.org/officeDocument/2006/relationships/hyperlink" Target="https://doi.org/10.48550/arXiv.2506.19143" TargetMode="External"/><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18</Pages>
  <Words>9102</Words>
  <Characters>51884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Tracing motivated reasoning in the Donation Bet</vt:lpstr>
    </vt:vector>
  </TitlesOfParts>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Tracing motivated reasoning in the Donation Bet</dc:title>
  <dc:creator>Marie Cordes</dc:creator>
  <cp:lastModifiedBy>Marie Cordes</cp:lastModifiedBy>
  <cp:revision>2</cp:revision>
  <dcterms:created xsi:type="dcterms:W3CDTF">2026-09-29T21:47:00Z</dcterms:created>
  <dcterms:modified xsi:type="dcterms:W3CDTF">2026-09-30T19:58:00Z</dcterms:modified>
</cp:coreProperties>
</file>