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2D8E"/>
        </w:rPr>
        <w:t>Compte-rendu — Réunion Marketing</w:t>
      </w:r>
    </w:p>
    <w:p>
      <w:r>
        <w:rPr>
          <w:color w:val="555555"/>
          <w:sz w:val="20"/>
        </w:rPr>
        <w:t>Date : 14 mars 2026  |  Durée : 1h30</w:t>
      </w:r>
    </w:p>
    <w:p>
      <w:r>
        <w:rPr>
          <w:color w:val="555555"/>
          <w:sz w:val="20"/>
        </w:rPr>
        <w:t>Participants : Sophie Renard, Thomas Blain, Inès Kouassi, Marc Delville</w:t>
      </w:r>
    </w:p>
    <w:p>
      <w:r>
        <w:rPr>
          <w:color w:val="555555"/>
          <w:sz w:val="20"/>
        </w:rPr>
        <w:t>Excusé : Julien Ferraud (congé)</w:t>
      </w:r>
    </w:p>
    <w:p/>
    <w:p>
      <w:r>
        <w:rPr>
          <w:b/>
          <w:color w:val="2D2D8E"/>
          <w:sz w:val="22"/>
        </w:rPr>
        <w:t>1. Bilan campagne LinkedIn Q4 2025</w:t>
      </w:r>
    </w:p>
    <w:p>
      <w:r>
        <w:t>La campagne a généré 412 impressions, 38 clics et 7 prises de contact qualifiées. Taux de conversion en hausse de 12 % vs Q3. Les posts avec témoignages clients performent 2× mieux que les posts produit (source : Thomas).</w:t>
      </w:r>
    </w:p>
    <w:p>
      <w:r>
        <w:rPr>
          <w:b/>
          <w:color w:val="2D2D8E"/>
          <w:sz w:val="22"/>
        </w:rPr>
        <w:t>2. Lancement campagne printemps 2026</w:t>
      </w:r>
    </w:p>
    <w:p>
      <w:r>
        <w:t>Cible : PME de 20 à 200 salariés dans les secteurs RH et Finance. Budget alloué : 4 500 €. Canaux retenus : LinkedIn Ads, emailing (base 2 200 contacts) et webinar démonstration en avril.</w:t>
      </w:r>
    </w:p>
    <w:p>
      <w:r>
        <w:t>Sophie proposera 3 visuels pour validation avant le 21 mars.</w:t>
      </w:r>
    </w:p>
    <w:p>
      <w:r>
        <w:rPr>
          <w:b/>
          <w:color w:val="2D2D8E"/>
          <w:sz w:val="22"/>
        </w:rPr>
        <w:t>3. Calendrier éditorial</w:t>
      </w:r>
    </w:p>
    <w:p>
      <w:r>
        <w:t>Décalé de 2 semaines suite au retard de livraison des visuels. Nouvelle date du premier post : 1ᵉʳ avril 2026. Thomas enverra la version révisée du planning avant le 18 mars.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D2D8E"/>
          <w:sz w:val="22"/>
        </w:rPr>
        <w:t>Décisions prises</w:t>
      </w:r>
    </w:p>
    <w:p>
      <w:pPr>
        <w:pStyle w:val="ListBullet"/>
      </w:pPr>
      <w:r>
        <w:t>Budget campagne printemps validé : 4 500 €</w:t>
      </w:r>
    </w:p>
    <w:p>
      <w:pPr>
        <w:pStyle w:val="ListBullet"/>
      </w:pPr>
      <w:r>
        <w:t>Format webinar retenu pour avril</w:t>
      </w:r>
    </w:p>
    <w:p>
      <w:pPr>
        <w:pStyle w:val="ListBullet"/>
      </w:pPr>
      <w:r>
        <w:t>Thomas pilote le calendrier éditorial</w:t>
      </w:r>
    </w:p>
    <w:p>
      <w:r>
        <w:rPr>
          <w:b/>
          <w:color w:val="2D2D8E"/>
          <w:sz w:val="22"/>
        </w:rPr>
        <w:t>Actions à faire</w:t>
      </w:r>
    </w:p>
    <w:p>
      <w:pPr>
        <w:pStyle w:val="ListBullet"/>
      </w:pPr>
      <w:r>
        <w:t>Sophie : 3 propositions visuels → avant le 21 mars</w:t>
      </w:r>
    </w:p>
    <w:p>
      <w:pPr>
        <w:pStyle w:val="ListBullet"/>
      </w:pPr>
      <w:r>
        <w:t>Thomas : planning éditorial révisé → avant le 18 mars</w:t>
      </w:r>
    </w:p>
    <w:p>
      <w:pPr>
        <w:pStyle w:val="ListBullet"/>
      </w:pPr>
      <w:r>
        <w:t>Inès : brief webinar → avant le 25 mars</w:t>
      </w:r>
    </w:p>
    <w:p>
      <w:pPr>
        <w:pStyle w:val="ListBullet"/>
      </w:pPr>
      <w:r>
        <w:t>Marc : liste 20 prospects webinar → avant le 28 mars</w:t>
      </w:r>
    </w:p>
    <w:p>
      <w:r>
        <w:br/>
        <w:t>Prochain point : 28 mars 2026, 9h00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