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hana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Manual para padres · Off-Campus</w:t>
      </w:r>
    </w:p>
    <w:p>
      <w:r>
        <w:t>Homeschool guiado · Acceso, rutina y seguimiento familiar · 2026–2027</w:t>
      </w:r>
    </w:p>
    <w:p>
      <w:r>
        <w:t>Nuestra Fe es la Victoria · 1 Juan 5:4</w:t>
      </w:r>
    </w:p>
    <w:p>
      <w:r>
        <w:t>Guía por programa. Los esquemas son ilustrativos y contienen datos ficticios. Siga el plan individual y sus accesos autorizados.</w:t>
      </w:r>
    </w:p>
    <w:p>
      <w:r>
        <w:br w:type="page"/>
      </w:r>
    </w:p>
    <w:p>
      <w:pPr>
        <w:pStyle w:val="Heading1"/>
      </w:pPr>
      <w:r>
        <w:t>1. Empezar con orden</w:t>
      </w:r>
    </w:p>
    <w:p>
      <w:r>
        <w:t>Este manual acompaña a la familia desde la incorporación hasta el seguimiento del aprendizaje. El estudiante trabaja con su plan individual; el adulto organiza y supervisa según su delegación, y el equipo académico revisa los resultados.</w:t>
      </w:r>
    </w:p>
    <w:p>
      <w:r>
        <w:t>Antes de comenzar, confirme con Administración la solicitud, el programa, el ciclo, el vínculo familiar y las condiciones económicas. Una solicitud recibida o un pago realizado no sustituye la autorización de matrícula.</w:t>
      </w:r>
    </w:p>
    <w:p>
      <w:r>
        <w:t>La regla de trabajo: el Portal orienta, Drive conserva las evidencias, el SIS registra el expediente y Chanak valida. El plan aprobado indica qué debe estudiar el alumno y qué debe entregar.</w:t>
      </w:r>
    </w:p>
    <w:p>
      <w:pPr>
        <w:pStyle w:val="ListBullet"/>
      </w:pPr>
      <w:r>
        <w:t>Recibir acceso familiar SIS y acceso propio del estudiante.</w:t>
      </w:r>
    </w:p>
    <w:p>
      <w:pPr>
        <w:pStyle w:val="ListBullet"/>
      </w:pPr>
      <w:r>
        <w:t>Confirmar tutor-mentor/coordinación y canal institucional de ayuda.</w:t>
      </w:r>
    </w:p>
    <w:p>
      <w:pPr>
        <w:pStyle w:val="ListBullet"/>
      </w:pPr>
      <w:r>
        <w:t>Recibir PEI o conocer su estado y el responsable de publicarlo.</w:t>
      </w:r>
    </w:p>
    <w:p>
      <w:pPr>
        <w:pStyle w:val="ListBullet"/>
      </w:pPr>
      <w:r>
        <w:t>Comprobar materiales, cuenta Google, carpeta Drive y recursos autorizados.</w:t>
      </w:r>
    </w:p>
    <w:p>
      <w:pPr>
        <w:pStyle w:val="ListBullet"/>
      </w:pPr>
      <w:r>
        <w:t>Acordar inducción, primera entrega y próxima revisión.</w:t>
      </w:r>
    </w:p>
    <w:p>
      <w:r>
        <w:br w:type="page"/>
      </w:r>
    </w:p>
    <w:p>
      <w:pPr>
        <w:pStyle w:val="Heading1"/>
      </w:pPr>
      <w:r>
        <w:t>2. Sus accesos y primer ingreso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Entorno</w:t>
            </w:r>
          </w:p>
        </w:tc>
        <w:tc>
          <w:tcPr>
            <w:tcW w:type="dxa" w:w="2880"/>
          </w:tcPr>
          <w:p>
            <w:r>
              <w:t>Para qué se utiliza</w:t>
            </w:r>
          </w:p>
        </w:tc>
        <w:tc>
          <w:tcPr>
            <w:tcW w:type="dxa" w:w="2880"/>
          </w:tcPr>
          <w:p>
            <w:r>
              <w:t>Quién entra</w:t>
            </w:r>
          </w:p>
        </w:tc>
      </w:tr>
      <w:tr>
        <w:tc>
          <w:tcPr>
            <w:tcW w:type="dxa" w:w="2880"/>
          </w:tcPr>
          <w:p>
            <w:r>
              <w:t>sis.chanakacademy.org</w:t>
            </w:r>
          </w:p>
        </w:tc>
        <w:tc>
          <w:tcPr>
            <w:tcW w:type="dxa" w:w="2880"/>
          </w:tcPr>
          <w:p>
            <w:r>
              <w:t>Expediente, PEI, reportes y documentos</w:t>
            </w:r>
          </w:p>
        </w:tc>
        <w:tc>
          <w:tcPr>
            <w:tcW w:type="dxa" w:w="2880"/>
          </w:tcPr>
          <w:p>
            <w:r>
              <w:t>Padre/tutor y estudiante, con cuentas propias</w:t>
            </w:r>
          </w:p>
        </w:tc>
      </w:tr>
      <w:tr>
        <w:tc>
          <w:tcPr>
            <w:tcW w:type="dxa" w:w="2880"/>
          </w:tcPr>
          <w:p>
            <w:r>
              <w:t>portal.chanakacademy.org</w:t>
            </w:r>
          </w:p>
        </w:tc>
        <w:tc>
          <w:tcPr>
            <w:tcW w:type="dxa" w:w="2880"/>
          </w:tcPr>
          <w:p>
            <w:r>
              <w:t>Orientación y recursos del programa</w:t>
            </w:r>
          </w:p>
        </w:tc>
        <w:tc>
          <w:tcPr>
            <w:tcW w:type="dxa" w:w="2880"/>
          </w:tcPr>
          <w:p>
            <w:r>
              <w:t>Familia y estudiante, con código vigente facilitado</w:t>
            </w:r>
          </w:p>
        </w:tc>
      </w:tr>
      <w:tr>
        <w:tc>
          <w:tcPr>
            <w:tcW w:type="dxa" w:w="2880"/>
          </w:tcPr>
          <w:p>
            <w:r>
              <w:t>mail.google.com / Drive</w:t>
            </w:r>
          </w:p>
        </w:tc>
        <w:tc>
          <w:tcPr>
            <w:tcW w:type="dxa" w:w="2880"/>
          </w:tcPr>
          <w:p>
            <w:r>
              <w:t>Correo y evidencias institucionales</w:t>
            </w:r>
          </w:p>
        </w:tc>
        <w:tc>
          <w:tcPr>
            <w:tcW w:type="dxa" w:w="2880"/>
          </w:tcPr>
          <w:p>
            <w:r>
              <w:t>Titular de la cuenta asignada</w:t>
            </w:r>
          </w:p>
        </w:tc>
      </w:tr>
    </w:tbl>
    <w:p>
      <w:r>
        <w:t>Abra cada dirección sin añadir «www». En SIS use el correo autorizado de la familia y la contraseña entregada para ese sistema. El estudiante usa su propia cuenta. No dé por hecho que las contraseñas de Google y SIS sean iguales.</w:t>
      </w:r>
    </w:p>
    <w:p>
      <w:r>
        <w:t>Para Google, añada la cuenta institucional si ya hay una cuenta personal abierta. Use las credenciales individuales recibidas y complete el cambio de contraseña si la pantalla lo solicita. La creación del usuario SIS no garantiza que exista su buzón Google.</w:t>
      </w:r>
    </w:p>
    <w:p>
      <w:r>
        <w:t>En el Portal introduzca el código vigente entregado por coordinación. El código común de recursos no sustituye el acceso nominativo al expediente. No se incluyen contraseñas reales en este manual.</w:t>
      </w:r>
    </w:p>
    <w:p>
      <w:pPr>
        <w:pStyle w:val="ListBullet"/>
      </w:pPr>
      <w:r>
        <w:t>Compruebe que aparece su identidad.</w:t>
      </w:r>
    </w:p>
    <w:p>
      <w:pPr>
        <w:pStyle w:val="ListBullet"/>
      </w:pPr>
      <w:r>
        <w:t>Compruebe que los hijos visibles son los correctos.</w:t>
      </w:r>
    </w:p>
    <w:p>
      <w:pPr>
        <w:pStyle w:val="ListBullet"/>
      </w:pPr>
      <w:r>
        <w:t>Si falla el acceso, use recuperación o consulte a Administración; no cree otra cuenta.</w:t>
      </w:r>
    </w:p>
    <w:p>
      <w:r>
        <w:br w:type="page"/>
      </w:r>
    </w:p>
    <w:p>
      <w:pPr>
        <w:pStyle w:val="Heading1"/>
      </w:pPr>
      <w:r>
        <w:t>3. Pantalla Mis Hijos</w:t>
      </w:r>
    </w:p>
    <w:p>
      <w:r>
        <w:drawing>
          <wp:inline xmlns:a="http://schemas.openxmlformats.org/drawingml/2006/main" xmlns:pic="http://schemas.openxmlformats.org/drawingml/2006/picture">
            <wp:extent cx="5577840" cy="1913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famil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Portal de Padres presenta una tarjeta por estudiante vinculado. Compruebe nombre, programa, grado y año antes de abrir documentos o enviar información.</w:t>
      </w:r>
    </w:p>
    <w:p>
      <w:r>
        <w:t>Desde la tarjeta se ofrecen accesos a evaluaciones, pagos, PEI, boletines, carta, contrato y evidencias según su disponibilidad. Un documento aún no publicado puede no aparecer.</w:t>
      </w:r>
    </w:p>
    <w:p>
      <w:r>
        <w:t>En la navegación actual encontrará Mis Hijos, Documentos &amp; Boletines, Evaluaciones &amp; Evidencias, Encuesta Familiar, Recursos y Currículo / Curriculum. Circular, Calendario y Alertas pueden abrirse desde la cabecera o accesos correspondientes; no todas las ayudas son pestañas.</w:t>
      </w:r>
    </w:p>
    <w:p>
      <w:pPr>
        <w:pStyle w:val="ListBullet"/>
      </w:pPr>
      <w:r>
        <w:t>Dos hermanos: dos fichas de estudiante y el vínculo familiar correcto.</w:t>
      </w:r>
    </w:p>
    <w:p>
      <w:pPr>
        <w:pStyle w:val="ListBullet"/>
      </w:pPr>
      <w:r>
        <w:t>Un hijo que falta: informe su ID y el ciclo a Administración.</w:t>
      </w:r>
    </w:p>
    <w:p>
      <w:pPr>
        <w:pStyle w:val="ListBullet"/>
      </w:pPr>
      <w:r>
        <w:t>Un estudiante ajeno: deje de consultar su ficha y comunique la incidencia de acceso inmediatamente.</w:t>
      </w:r>
    </w:p>
    <w:p>
      <w:r>
        <w:br w:type="page"/>
      </w:r>
    </w:p>
    <w:p>
      <w:pPr>
        <w:pStyle w:val="Heading1"/>
      </w:pPr>
      <w:r>
        <w:t>4. PEI, currículo y materiales</w:t>
      </w:r>
    </w:p>
    <w:p>
      <w:r>
        <w:t>El PEI o plan educativo individualizado concreta punto de partida, materias, objetivos, apoyos y evaluaciones. Revíselo con coordinación antes de interpretar metas vacías o material pendiente.</w:t>
      </w:r>
    </w:p>
    <w:p>
      <w:r>
        <w:t>La selección de vía curricular y el diagnóstico orientan el plan. A.C.E., LIFEPAC, CLE y Chanak Flex no se usan indistintamente: siga la vía autorizada para ese alumno. El diagnóstico no es una etiqueta personal.</w:t>
      </w:r>
    </w:p>
    <w:p>
      <w:r>
        <w:t>En Currículo / Curriculum complete la información solicitada y, cuando corresponda, la dirección de envío. La cotización, compra y recepción de materiales son pasos separados; consulte qué incluye su programa.</w:t>
      </w:r>
    </w:p>
    <w:p>
      <w:r>
        <w:t>Las metas diarias pueden depender de un PEI publicado, de las asignaciones y del periodo activo. Una pantalla vacía también puede deberse a vínculos, filtros, ausencia de datos o un fallo de carga: no concluyan que el PEI es la única causa.</w:t>
      </w:r>
    </w:p>
    <w:p>
      <w:pPr>
        <w:pStyle w:val="ListBullet"/>
      </w:pPr>
      <w:r>
        <w:t>Confirmar versión y ciclo del plan.</w:t>
      </w:r>
    </w:p>
    <w:p>
      <w:pPr>
        <w:pStyle w:val="ListBullet"/>
      </w:pPr>
      <w:r>
        <w:t>Entender qué se hará mientras llegan los materiales.</w:t>
      </w:r>
    </w:p>
    <w:p>
      <w:pPr>
        <w:pStyle w:val="ListBullet"/>
      </w:pPr>
      <w:r>
        <w:t>Acordar ritmo, supervisión, apoyos y próxima revisión.</w:t>
      </w:r>
    </w:p>
    <w:p>
      <w:pPr>
        <w:pStyle w:val="ListBullet"/>
      </w:pPr>
      <w:r>
        <w:t>Pedir revisión académica antes de sustituir materias o modificar objetivos.</w:t>
      </w:r>
    </w:p>
    <w:p>
      <w:r>
        <w:br w:type="page"/>
      </w:r>
    </w:p>
    <w:p>
      <w:pPr>
        <w:pStyle w:val="Heading1"/>
      </w:pPr>
      <w:r>
        <w:t>5. Rutina de estudio y evaluación</w:t>
      </w:r>
    </w:p>
    <w:p>
      <w:r>
        <w:t>Al inicio del día revisen las metas del plan y preparen materiales. El estudiante trabaja, registra dudas y revisa errores; el adulto acompaña según su edad, autonomía y la delegación recibida.</w:t>
      </w:r>
    </w:p>
    <w:p>
      <w:r>
        <w:t>Core, Extensión Local y Life Skills se organizan según el programa y el PEI. La arquitectura 60/20/20 orienta el recorrido escolar; no convierte automáticamente actividades en créditos ni impone el mismo horario a todas las familias.</w:t>
      </w:r>
    </w:p>
    <w:p>
      <w:r>
        <w:t>Las evaluaciones se realizan conforme al procedimiento de la vía curricular: custodia del material, condiciones de realización, corrección y evidencias. No copien respuestas ni hagan el trabajo por el estudiante.</w:t>
      </w:r>
    </w:p>
    <w:p>
      <w:r>
        <w:t>Al terminar, registren qué se completó, qué quedó pendiente y qué apoyo necesita. Si el alumno no demuestra dominio, sigan el refuerzo y la reevaluación indicados; no inventen calificaciones ni adelanten unidades solo por el calendario.</w:t>
      </w:r>
    </w:p>
    <w:p>
      <w:pPr>
        <w:pStyle w:val="ListBullet"/>
      </w:pPr>
      <w:r>
        <w:t>Diariamente: metas, estudio y cierre breve.</w:t>
      </w:r>
    </w:p>
    <w:p>
      <w:pPr>
        <w:pStyle w:val="ListBullet"/>
      </w:pPr>
      <w:r>
        <w:t>Semanalmente: revisar pendientes y conservar evidencias.</w:t>
      </w:r>
    </w:p>
    <w:p>
      <w:pPr>
        <w:pStyle w:val="ListBullet"/>
      </w:pPr>
      <w:r>
        <w:t>Según el plan: enviar reportes y participar en seguimiento.</w:t>
      </w:r>
    </w:p>
    <w:p>
      <w:pPr>
        <w:pStyle w:val="ListBullet"/>
      </w:pPr>
      <w:r>
        <w:t>Acordar fechas reales con coordinación; este manual no fija un horario universal.</w:t>
      </w:r>
    </w:p>
    <w:p>
      <w:r>
        <w:br w:type="page"/>
      </w:r>
    </w:p>
    <w:p>
      <w:pPr>
        <w:pStyle w:val="Heading1"/>
      </w:pPr>
      <w:r>
        <w:t>6. Enviar evaluaciones y evidencias</w:t>
      </w:r>
    </w:p>
    <w:p>
      <w:r>
        <w:drawing>
          <wp:inline xmlns:a="http://schemas.openxmlformats.org/drawingml/2006/main" xmlns:pic="http://schemas.openxmlformats.org/drawingml/2006/picture">
            <wp:extent cx="5577840" cy="1913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evidenc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36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Qué debe hacer la familia</w:t>
            </w:r>
          </w:p>
        </w:tc>
      </w:tr>
      <w:tr>
        <w:tc>
          <w:tcPr>
            <w:tcW w:type="dxa" w:w="4320"/>
          </w:tcPr>
          <w:p>
            <w:r>
              <w:t>Borrador</w:t>
            </w:r>
          </w:p>
        </w:tc>
        <w:tc>
          <w:tcPr>
            <w:tcW w:type="dxa" w:w="4320"/>
          </w:tcPr>
          <w:p>
            <w:r>
              <w:t>Completar y verificar antes de enviar</w:t>
            </w:r>
          </w:p>
        </w:tc>
      </w:tr>
      <w:tr>
        <w:tc>
          <w:tcPr>
            <w:tcW w:type="dxa" w:w="4320"/>
          </w:tcPr>
          <w:p>
            <w:r>
              <w:t>Enviado / En revisión</w:t>
            </w:r>
          </w:p>
        </w:tc>
        <w:tc>
          <w:tcPr>
            <w:tcW w:type="dxa" w:w="4320"/>
          </w:tcPr>
          <w:p>
            <w:r>
              <w:t>Esperar revisión y atender consultas</w:t>
            </w:r>
          </w:p>
        </w:tc>
      </w:tr>
      <w:tr>
        <w:tc>
          <w:tcPr>
            <w:tcW w:type="dxa" w:w="4320"/>
          </w:tcPr>
          <w:p>
            <w:r>
              <w:t>Corrección solicitada</w:t>
            </w:r>
          </w:p>
        </w:tc>
        <w:tc>
          <w:tcPr>
            <w:tcW w:type="dxa" w:w="4320"/>
          </w:tcPr>
          <w:p>
            <w:r>
              <w:t>Corregir lo indicado y reenviar si está habilitado</w:t>
            </w:r>
          </w:p>
        </w:tc>
      </w:tr>
      <w:tr>
        <w:tc>
          <w:tcPr>
            <w:tcW w:type="dxa" w:w="4320"/>
          </w:tcPr>
          <w:p>
            <w:r>
              <w:t>Aprobado</w:t>
            </w:r>
          </w:p>
        </w:tc>
        <w:tc>
          <w:tcPr>
            <w:tcW w:type="dxa" w:w="4320"/>
          </w:tcPr>
          <w:p>
            <w:r>
              <w:t>Consultar el resultado validado; pedir revisión si hay discrepancia</w:t>
            </w:r>
          </w:p>
        </w:tc>
      </w:tr>
    </w:tbl>
    <w:p>
      <w:r>
        <w:t>Entre en Evaluaciones &amp; Evidencias y seleccione el hijo, materia, ciclo y periodo correctos. Revise las unidades o evaluaciones proyectadas y use la acción habilitada de reporte o «Corregir / actualizar» cuando corresponda.</w:t>
      </w:r>
    </w:p>
    <w:p>
      <w:r>
        <w:t>Registre fecha, evaluación, resultado propuesto y observaciones verificables según los campos disponibles. Adjunte el enlace a la evidencia de Drive autorizada para la revisión. Abra el enlace con la cuenta institucional y compruebe que el equipo asignado puede consultarlo.</w:t>
      </w:r>
    </w:p>
    <w:p>
      <w:r>
        <w:t>Conserve una evidencia legible y completa. Nombre orientativo: ID_ESTUDIANTE_MATERIA_EVALUACION_FECHA. Evite nombres completos en carpetas de circulación amplia y no haga públicos los documentos.</w:t>
      </w:r>
    </w:p>
    <w:p>
      <w:r>
        <w:t>Enviar no equivale a aprobar. Espere la revisión de coordinación. Si se pide corrección, responda a la observación en el mismo registro o por el mecanismo habilitado; no duplique toda la entrega.</w:t>
      </w:r>
    </w:p>
    <w:p>
      <w:r>
        <w:t>Si el registro enviado o aprobado no permite edición, solicite revisión. No sustituya por otro una nota ya aprobada ni interprete una propuesta como resultado oficial.</w:t>
      </w:r>
    </w:p>
    <w:p>
      <w:r>
        <w:br w:type="page"/>
      </w:r>
    </w:p>
    <w:p>
      <w:pPr>
        <w:pStyle w:val="Heading1"/>
      </w:pPr>
      <w:r>
        <w:t>7. Documentos, pagos y comunicación</w:t>
      </w:r>
    </w:p>
    <w:p>
      <w:r>
        <w:t>En Documentos &amp; Boletines consulte los archivos disponibles por estudiante y periodo. Los botones de descarga ES/EN aparecen según el documento publicado. Compruebe alumno, año y trimestre antes de guardar o enviar una copia.</w:t>
      </w:r>
    </w:p>
    <w:p>
      <w:r>
        <w:t>Revise el PEI, carta y contrato en sus accesos. Contrato enviado, firmado y matrícula lista son estados distintos. Solo firme después de revisar las condiciones y resolver dudas con Administración.</w:t>
      </w:r>
    </w:p>
    <w:p>
      <w:r>
        <w:t>En Pagos compruebe concepto, importe, moneda, vencimiento y estado. Conserve comprobantes. Si un pago no coincide, informe fecha y referencia por el canal autorizado; una discrepancia no exige repetir el cobro ni enviar otra solicitud.</w:t>
      </w:r>
    </w:p>
    <w:p>
      <w:r>
        <w:t>Consulte Circular, Calendario y Alertas desde los accesos de su panel. Atienda los avisos y confirme con su mentor si el cambio afecta su plan individual.</w:t>
      </w:r>
    </w:p>
    <w:p>
      <w:r>
        <w:t>Los Chanak Coins son un recurso de motivación. No sustituyen evaluación, créditos ni pagos; úsense de acuerdo con el criterio institucional comunicado.</w:t>
      </w:r>
    </w:p>
    <w:p>
      <w:r>
        <w:br w:type="page"/>
      </w:r>
    </w:p>
    <w:p>
      <w:pPr>
        <w:pStyle w:val="Heading1"/>
      </w:pPr>
      <w:r>
        <w:t>8. Cuando algo no funciona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Situación</w:t>
            </w:r>
          </w:p>
        </w:tc>
        <w:tc>
          <w:tcPr>
            <w:tcW w:type="dxa" w:w="2880"/>
          </w:tcPr>
          <w:p>
            <w:r>
              <w:t>Primera comprobación</w:t>
            </w:r>
          </w:p>
        </w:tc>
        <w:tc>
          <w:tcPr>
            <w:tcW w:type="dxa" w:w="2880"/>
          </w:tcPr>
          <w:p>
            <w:r>
              <w:t>A quién acudir</w:t>
            </w:r>
          </w:p>
        </w:tc>
      </w:tr>
      <w:tr>
        <w:tc>
          <w:tcPr>
            <w:tcW w:type="dxa" w:w="2880"/>
          </w:tcPr>
          <w:p>
            <w:r>
              <w:t>No entra</w:t>
            </w:r>
          </w:p>
        </w:tc>
        <w:tc>
          <w:tcPr>
            <w:tcW w:type="dxa" w:w="2880"/>
          </w:tcPr>
          <w:p>
            <w:r>
              <w:t>Correo, sistema y recuperación</w:t>
            </w:r>
          </w:p>
        </w:tc>
        <w:tc>
          <w:tcPr>
            <w:tcW w:type="dxa" w:w="2880"/>
          </w:tcPr>
          <w:p>
            <w:r>
              <w:t>Administración</w:t>
            </w:r>
          </w:p>
        </w:tc>
      </w:tr>
      <w:tr>
        <w:tc>
          <w:tcPr>
            <w:tcW w:type="dxa" w:w="2880"/>
          </w:tcPr>
          <w:p>
            <w:r>
              <w:t>Falta un hijo o aparece otro</w:t>
            </w:r>
          </w:p>
        </w:tc>
        <w:tc>
          <w:tcPr>
            <w:tcW w:type="dxa" w:w="2880"/>
          </w:tcPr>
          <w:p>
            <w:r>
              <w:t>Vínculo familiar y año</w:t>
            </w:r>
          </w:p>
        </w:tc>
        <w:tc>
          <w:tcPr>
            <w:tcW w:type="dxa" w:w="2880"/>
          </w:tcPr>
          <w:p>
            <w:r>
              <w:t>Administración de inmediato</w:t>
            </w:r>
          </w:p>
        </w:tc>
      </w:tr>
      <w:tr>
        <w:tc>
          <w:tcPr>
            <w:tcW w:type="dxa" w:w="2880"/>
          </w:tcPr>
          <w:p>
            <w:r>
              <w:t>Faltan metas o materias</w:t>
            </w:r>
          </w:p>
        </w:tc>
        <w:tc>
          <w:tcPr>
            <w:tcW w:type="dxa" w:w="2880"/>
          </w:tcPr>
          <w:p>
            <w:r>
              <w:t>PEI, ciclo, asignaciones y carga</w:t>
            </w:r>
          </w:p>
        </w:tc>
        <w:tc>
          <w:tcPr>
            <w:tcW w:type="dxa" w:w="2880"/>
          </w:tcPr>
          <w:p>
            <w:r>
              <w:t>Coordinación</w:t>
            </w:r>
          </w:p>
        </w:tc>
      </w:tr>
      <w:tr>
        <w:tc>
          <w:tcPr>
            <w:tcW w:type="dxa" w:w="2880"/>
          </w:tcPr>
          <w:p>
            <w:r>
              <w:t>Drive no abre</w:t>
            </w:r>
          </w:p>
        </w:tc>
        <w:tc>
          <w:tcPr>
            <w:tcW w:type="dxa" w:w="2880"/>
          </w:tcPr>
          <w:p>
            <w:r>
              <w:t>Cuenta y permisos del enlace</w:t>
            </w:r>
          </w:p>
        </w:tc>
        <w:tc>
          <w:tcPr>
            <w:tcW w:type="dxa" w:w="2880"/>
          </w:tcPr>
          <w:p>
            <w:r>
              <w:t>Tutor/Administración</w:t>
            </w:r>
          </w:p>
        </w:tc>
      </w:tr>
      <w:tr>
        <w:tc>
          <w:tcPr>
            <w:tcW w:type="dxa" w:w="2880"/>
          </w:tcPr>
          <w:p>
            <w:r>
              <w:t>Nota diferente</w:t>
            </w:r>
          </w:p>
        </w:tc>
        <w:tc>
          <w:tcPr>
            <w:tcW w:type="dxa" w:w="2880"/>
          </w:tcPr>
          <w:p>
            <w:r>
              <w:t>Evaluación, fecha y estado de revisión</w:t>
            </w:r>
          </w:p>
        </w:tc>
        <w:tc>
          <w:tcPr>
            <w:tcW w:type="dxa" w:w="2880"/>
          </w:tcPr>
          <w:p>
            <w:r>
              <w:t>Coordinación</w:t>
            </w:r>
          </w:p>
        </w:tc>
      </w:tr>
      <w:tr>
        <w:tc>
          <w:tcPr>
            <w:tcW w:type="dxa" w:w="2880"/>
          </w:tcPr>
          <w:p>
            <w:r>
              <w:t>Pago diferente</w:t>
            </w:r>
          </w:p>
        </w:tc>
        <w:tc>
          <w:tcPr>
            <w:tcW w:type="dxa" w:w="2880"/>
          </w:tcPr>
          <w:p>
            <w:r>
              <w:t>Concepto y comprobante</w:t>
            </w:r>
          </w:p>
        </w:tc>
        <w:tc>
          <w:tcPr>
            <w:tcW w:type="dxa" w:w="2880"/>
          </w:tcPr>
          <w:p>
            <w:r>
              <w:t>Administración</w:t>
            </w:r>
          </w:p>
        </w:tc>
      </w:tr>
    </w:tbl>
    <w:p>
      <w:r>
        <w:t>Para pedir ayuda indique sistema, ID del estudiante, ciclo, pantalla, fecha y mensaje de error. Envíe una captura recortada si ayuda, sin mostrar contraseñas ni información de otros estudiantes.</w:t>
      </w:r>
    </w:p>
    <w:p>
      <w:r>
        <w:t>Si observa una situación que afecta la seguridad o bienestar del menor, siga el canal institucional de protección. Un incidente de protección no se resuelve dentro de una consulta sobre notas.</w:t>
      </w:r>
    </w:p>
    <w:p>
      <w:pPr>
        <w:pStyle w:val="ListBullet"/>
      </w:pPr>
      <w:r>
        <w:t>Conocer quién responde cada consulta.</w:t>
      </w:r>
    </w:p>
    <w:p>
      <w:pPr>
        <w:pStyle w:val="ListBullet"/>
      </w:pPr>
      <w:r>
        <w:t>Comprobar un primer acceso correcto de padre y estudiante.</w:t>
      </w:r>
    </w:p>
    <w:p>
      <w:pPr>
        <w:pStyle w:val="ListBullet"/>
      </w:pPr>
      <w:r>
        <w:t>Realizar una entrega de práctica solo en el entorno autorizado.</w:t>
      </w:r>
    </w:p>
    <w:p>
      <w:pPr>
        <w:pStyle w:val="ListBullet"/>
      </w:pPr>
      <w:r>
        <w:t>Acordar la primera revisión y guardar este manual.</w:t>
      </w:r>
    </w:p>
    <w:p>
      <w:r>
        <w:br w:type="page"/>
      </w:r>
    </w:p>
    <w:p>
      <w:pPr>
        <w:pStyle w:val="Heading1"/>
      </w:pPr>
      <w:r>
        <w:t>Ayuda y actualización</w:t>
      </w:r>
    </w:p>
    <w:p>
      <w:r>
        <w:t>Contacto del programa: offcampus@chanakacademy.org</w:t>
      </w:r>
    </w:p>
    <w:p>
      <w:r>
        <w:t>Cuentas, vínculos y pagos: Administración por el canal institucional recibido.</w:t>
      </w:r>
    </w:p>
    <w:p>
      <w:r>
        <w:t>Referencias aportadas por Mariela y recorridos contrastados con el código el 6 octubre 2026. No incluye contraseñas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Revisión 6 octubre 2026 · Uso familiar · Pantallas ilustrativas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CHANAK INTERNATIONAL ACADEMY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