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orientar as diretrizes e políticas educacionais e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já passou por três novos ciclos de divulgação — 2021, 2023 e 2025 —,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(notas em provas de português e matemática) e o rendimento escolar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registrou Ideb de 5,3 nessa etapa (tanto na rede estadual quanto na pública), abaixo dos 6,0 pretendidos — mas também abaixo da meta mais recente fixada pelo próprio Plano Estadual de Educação para o período (5,5), embora a distância tenha diminuído bastante frente a 2023. O Brasil como um todo também está distante desse patamar, com Ideb de 5,1 (rede estadual) na mesma etapa em 2025.</w:t>
      </w:r>
    </w:p>
    <w:p>
      <w:pPr>
        <w:spacing w:after="80" w:before="120"/>
        <w:jc w:val="center"/>
      </w:pPr>
      <w:r>
        <w:drawing>
          <wp:inline distT="0" distB="0" distL="0" distR="0">
            <wp:extent cx="5715000" cy="263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32075"/>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(2017-2019). Nos anos iniciais, o Ideb estadual passou de 6,2 para 6,7 entre 2023 e 2025; nos anos finais, de 4,6 para 5,3; e no ensino médio, de 4,0 para 4,5. Minas Gerais superou a média nacional em todas as etapas e redes comparáveis: 6,7 contra 6,4 nos anos iniciais (rede estadual), 5,3 contra 5,1 nos anos finais, e 4,5 contra 4,3 no ensino médio. À medida que se avança no processo de escolarização, o desempenho absoluto ainda cai — os anos finais e o ensino médio seguem com Ideb mais baixo que os anos iniciais —,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(6,0) ainda na década passada. O ciclo de 2021 marcou uma queda em todas as etapas, refletindo o impacto da pandemia de Covid-19 sobre a aprendizagem; em 2025, todas as três etapas atingiram os maiores valores da própria série histórica iniciada em 2005 (Gráfico 2).</w:t>
      </w:r>
    </w:p>
    <w:p>
      <w:pPr>
        <w:spacing w:after="20"/>
      </w:pPr>
      <w:r>
        <w:rPr>
          <w:i/>
          <w:iCs/>
          <w:color w:val="595959"/>
          <w:sz w:val="17"/>
          <w:szCs w:val="17"/>
        </w:rPr>
        <w:t xml:space="preserve">Fonte: Inep/MEC, divulgação Ideb 2025 (por município e por UF).</w:t>
      </w:r>
    </w:p>
    <w:p>
      <w:pPr>
        <w:spacing w:after="160"/>
      </w:pPr>
      <w:r>
        <w:rPr>
          <w:i/>
          <w:iCs/>
          <w:color w:val="595959"/>
          <w:sz w:val="17"/>
          <w:szCs w:val="17"/>
        </w:rPr>
        <w:t xml:space="preserve">Nota: Rede pública: considera as escolas municipais, estaduais e federais. A rede municipal, quando aparece nos Gráficos 1 e 5, é uma aproximação pela média simples dos municípios de MG —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de 6,2 para 6,7 na rede estadual e de 6,1 para 6,4 na rede pública. É o maior valor de toda a série iniciada em 2005, superando inclusive o patamar pré-pandemia (6,5, em 2017 e 2019). A queda de 2021 — quando o Ideb estadual recuou para 6,0 — foi, portanto, temporária: a etapa não só recuperou como ultrapassou a trajetória que vinha antes da pandemia.</w:t>
      </w:r>
    </w:p>
    <w:p>
      <w:pPr>
        <w:spacing w:after="80" w:before="120"/>
        <w:jc w:val="center"/>
      </w:pPr>
      <w:r>
        <w:drawing>
          <wp:inline distT="0" distB="0" distL="0" distR="0">
            <wp:extent cx="5715000" cy="34772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77260"/>
                    </a:xfrm>
                    <a:prstGeom prst="rect">
                      <a:avLst/>
                    </a:prstGeom>
                  </pic:spPr>
                </pic:pic>
              </a:graphicData>
            </a:graphic>
          </wp:inline>
        </w:drawing>
      </w:r>
    </w:p>
    <w:p>
      <w:pPr>
        <w:spacing w:after="160"/>
      </w:pPr>
      <w:r>
        <w:rPr>
          <w:i/>
          <w:iCs/>
          <w:color w:val="595959"/>
          <w:sz w:val="17"/>
          <w:szCs w:val="17"/>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34772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77260"/>
                    </a:xfrm>
                    <a:prstGeom prst="rect">
                      <a:avLst/>
                    </a:prstGeom>
                  </pic:spPr>
                </pic:pic>
              </a:graphicData>
            </a:graphic>
          </wp:inline>
        </w:drawing>
      </w:r>
    </w:p>
    <w:p>
      <w:pPr>
        <w:spacing w:after="80" w:before="120"/>
        <w:jc w:val="center"/>
      </w:pPr>
      <w:r>
        <w:drawing>
          <wp:inline distT="0" distB="0" distL="0" distR="0">
            <wp:extent cx="5715000" cy="32943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94380"/>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(2023) para 5,3 (2025), o maior valor da série histórica — superando até o pico local de 2021 (5,0), atingido em condições atípicas de pandemia. A rede pública seguiu o mesmo padrão (de 4,7 para 5,3).</w:t>
      </w:r>
    </w:p>
    <w:p>
      <w:pPr>
        <w:spacing w:after="160" w:line="288"/>
        <w:jc w:val="both"/>
      </w:pPr>
      <w:r>
        <w:rPr>
          <w:sz w:val="21"/>
          <w:szCs w:val="21"/>
        </w:rPr>
        <w:t xml:space="preserve">No ensino médio, o Ideb estadual passou de 4,0, patamar em que estava estabilizado desde 2019, para 4,5 em 2025 — também recorde da série histórica. Vale registrar que o período avaliado (2023–2025) coincide com a consolidação do Novo Ensino Médio nas redes estaduais, reforma curricular implementada a partir de 2022 cujos efeitos sobre a organização da etapa ainda estão em avaliação; não é possível, com os dados disponíveis, isolar sua contribuição específica para o resultado.</w:t>
      </w:r>
    </w:p>
    <w:p>
      <w:pPr>
        <w:spacing w:after="160"/>
      </w:pPr>
      <w:r>
        <w:rPr>
          <w:i/>
          <w:iCs/>
          <w:color w:val="595959"/>
          <w:sz w:val="17"/>
          <w:szCs w:val="17"/>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do desempenho (nota média padronizada obtida pelo Saeb, de 0 a 10) e do rendimento (indicador de aprovação, de 0 a 1, aqui multiplicado por dez para ficar na mesma escala) entre 2023 e 2025.</w:t>
      </w:r>
    </w:p>
    <w:p>
      <w:pPr>
        <w:spacing w:after="80" w:before="120"/>
        <w:jc w:val="center"/>
      </w:pPr>
      <w:r>
        <w:drawing>
          <wp:inline distT="0" distB="0" distL="0" distR="0">
            <wp:extent cx="5715000" cy="266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0650"/>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 sinal de melhora "genuína", em que o avanço na aprovação veio acompanhado de aprendizagem maior, e não de uma aprovação mais frouxa. O padrão mais chamativo é o da rede privada: o rendimento subiu com força nas três etapas (o equivalente a 0,02 a 0,12 ponto de aprovação a mais), mas o desempenho no Saeb caiu nos anos iniciais e no ensino médio. Ou seja, a rede privada aprovou mais alunos sem que isso viesse acompanhado, em média, de mais aprendizagem — o inverso do movimento observado nas redes públicas.</w:t>
      </w:r>
    </w:p>
    <w:p>
      <w:pPr>
        <w:spacing w:after="160"/>
      </w:pPr>
      <w:r>
        <w:rPr>
          <w:i/>
          <w:iCs/>
          <w:color w:val="595959"/>
          <w:sz w:val="17"/>
          <w:szCs w:val="17"/>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 a mesma posição de 2023 nos anos iniciais. No ensino médio, Minas subiu da 12ª para a 8ª posição (Ideb de 4,5).</w:t>
      </w:r>
    </w:p>
    <w:p>
      <w:pPr>
        <w:spacing w:after="160" w:line="288"/>
        <w:jc w:val="both"/>
      </w:pPr>
      <w:r>
        <w:rPr>
          <w:sz w:val="21"/>
          <w:szCs w:val="21"/>
        </w:rPr>
        <w:t xml:space="preserve">O avanço mais notável foi na rede pública dos anos finais do fundamental: Minas Gerais saltou da 16ª para a 4ª posição entre os estados, com alta de 0,6 ponto (de 4,7 para 5,3) — um dos maiores avanços do país nessa rede e etapa.</w:t>
      </w:r>
    </w:p>
    <w:p>
      <w:pPr>
        <w:spacing w:after="160"/>
      </w:pPr>
      <w:r>
        <w:rPr>
          <w:i/>
          <w:iCs/>
          <w:color w:val="595959"/>
          <w:sz w:val="17"/>
          <w:szCs w:val="17"/>
        </w:rPr>
        <w:t xml:space="preserve">Fonte: Inep/MEC, divulgação Ideb 2025 por UF (ranking calculado sobre as 27 unidades da federação).</w:t>
      </w:r>
    </w:p>
    <w:p>
      <w:pPr>
        <w:pStyle w:val="Heading2"/>
        <w:spacing w:after="120" w:before="220"/>
      </w:pPr>
      <w:r>
        <w:rPr>
          <w:b/>
          <w:bCs/>
          <w:color w:val="C00000"/>
          <w:sz w:val="24"/>
          <w:szCs w:val="24"/>
        </w:rPr>
        <w:t xml:space="preserve">Recorte regional — rede estadual</w:t>
      </w:r>
    </w:p>
    <w:p>
      <w:pPr>
        <w:spacing w:after="80" w:before="120"/>
        <w:jc w:val="center"/>
      </w:pPr>
      <w:r>
        <w:drawing>
          <wp:inline distT="0" distB="0" distL="0" distR="0">
            <wp:extent cx="5461000" cy="6744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6744970"/>
                    </a:xfrm>
                    <a:prstGeom prst="rect">
                      <a:avLst/>
                    </a:prstGeom>
                  </pic:spPr>
                </pic:pic>
              </a:graphicData>
            </a:graphic>
          </wp:inline>
        </w:drawing>
      </w:r>
    </w:p>
    <w:p>
      <w:pPr>
        <w:spacing w:after="80" w:before="120"/>
        <w:jc w:val="center"/>
      </w:pPr>
      <w:r>
        <w:drawing>
          <wp:inline distT="0" distB="0" distL="0" distR="0">
            <wp:extent cx="5461000" cy="74682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468235"/>
                    </a:xfrm>
                    <a:prstGeom prst="rect">
                      <a:avLst/>
                    </a:prstGeom>
                  </pic:spPr>
                </pic:pic>
              </a:graphicData>
            </a:graphic>
          </wp:inline>
        </w:drawing>
      </w:r>
    </w:p>
    <w:p>
      <w:pPr>
        <w:spacing w:after="80" w:before="120"/>
        <w:jc w:val="center"/>
      </w:pPr>
      <w:r>
        <w:drawing>
          <wp:inline distT="0" distB="0" distL="0" distR="0">
            <wp:extent cx="5461000" cy="74682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468235"/>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 e em 12 delas, 100% das escolas atingem essa faixa. As SRE de Januária, Almenara e Carangola têm os menores percentuais nessa faixa (48% a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(43%), Muriaé (32%) e Poços de Caldas (29%) têm os maiores percentuais de escolas na faixa mais alta; já Teófilo Otoni e Unaí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(38%), Teófilo Otoni (33%) e Montes Claros (30%) concentram os maiores percentuais de escolas com Ideb abaixo de 4 nessa etapa.</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6 a 8,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 apenas o Ideb já calculado.</w:t>
      </w:r>
    </w:p>
    <w:p>
      <w:pPr>
        <w:pBdr>
          <w:left w:val="single" w:color="1F4E79" w:sz="24" w:space="8"/>
        </w:pBdr>
        <w:shd w:fill="EAF1F8" w:val="clear"/>
        <w:spacing w:after="200"/>
        <w:ind w:left="200"/>
        <w:jc w:val="both"/>
      </w:pPr>
      <w:r>
        <w:rPr>
          <w:i/>
          <w:iCs/>
          <w:sz w:val="19"/>
          <w:szCs w:val="19"/>
        </w:rPr>
        <w:t xml:space="preserve">Ainda pendente: a SRE de Belo Horizonte aparece na base como "Metropolitana", separada de "Metropolitana A/B/C" — provavelmente uma pendência do cruzamento de município × SRE que vocês enviaram. Precisamos confirmar em qual das três sub-regionais Belo Horizonte deveria entrar antes de publicar esses gráficos.</w:t>
      </w:r>
    </w:p>
    <w:p>
      <w:pPr>
        <w:spacing w:after="160"/>
      </w:pPr>
      <w:r>
        <w:rPr>
          <w:i/>
          <w:iCs/>
          <w:color w:val="595959"/>
          <w:sz w:val="17"/>
          <w:szCs w:val="17"/>
        </w:rPr>
        <w:t xml:space="preserve">Fonte: Inep/MEC (Gráficos 6, 7 e 8).</w:t>
      </w:r>
    </w:p>
    <w:p>
      <w:pPr>
        <w:pStyle w:val="Heading2"/>
        <w:spacing w:after="120" w:before="220"/>
      </w:pPr>
      <w:r>
        <w:rPr>
          <w:b/>
          <w:bCs/>
          <w:color w:val="C00000"/>
          <w:sz w:val="24"/>
          <w:szCs w:val="24"/>
        </w:rPr>
        <w:t xml:space="preserve">Recorte regional — rede municipal</w:t>
      </w:r>
    </w:p>
    <w:p>
      <w:pPr>
        <w:spacing w:after="160" w:line="288"/>
        <w:jc w:val="both"/>
      </w:pPr>
      <w:r>
        <w:rPr>
          <w:sz w:val="21"/>
          <w:szCs w:val="21"/>
        </w:rPr>
        <w:t xml:space="preserve">Nos anos iniciais do ensino fundamental, 67% das escolas municipais de Minas Gerais têm Ideb igual ou acima de 6 — proporção menor que a da rede estadual na mesma etapa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4682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468235"/>
                    </a:xfrm>
                    <a:prstGeom prst="rect">
                      <a:avLst/>
                    </a:prstGeom>
                  </pic:spPr>
                </pic:pic>
              </a:graphicData>
            </a:graphic>
          </wp:inline>
        </w:drawing>
      </w:r>
    </w:p>
    <w:p>
      <w:pPr>
        <w:spacing w:after="80" w:before="120"/>
        <w:jc w:val="center"/>
      </w:pPr>
      <w:r>
        <w:drawing>
          <wp:inline distT="0" distB="0" distL="0" distR="0">
            <wp:extent cx="5461000" cy="73221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322185"/>
                    </a:xfrm>
                    <a:prstGeom prst="rect">
                      <a:avLst/>
                    </a:prstGeom>
                  </pic:spPr>
                </pic:pic>
              </a:graphicData>
            </a:graphic>
          </wp:inline>
        </w:drawing>
      </w:r>
    </w:p>
    <w:p>
      <w:pPr>
        <w:spacing w:after="160"/>
      </w:pPr>
      <w:r>
        <w:rPr>
          <w:i/>
          <w:iCs/>
          <w:color w:val="595959"/>
          <w:sz w:val="17"/>
          <w:szCs w:val="17"/>
        </w:rPr>
        <w:t xml:space="preserve">Fonte: Inep/MEC (Gráficos 9 e 10).</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pBdr>
          <w:left w:val="single" w:color="1F4E79" w:sz="24" w:space="8"/>
        </w:pBdr>
        <w:shd w:fill="EAF1F8" w:val="clear"/>
        <w:spacing w:after="40" w:before="120"/>
        <w:ind w:left="200"/>
      </w:pPr>
      <w:r>
        <w:rPr>
          <w:b/>
          <w:bCs/>
          <w:color w:val="1F4E79"/>
          <w:sz w:val="19"/>
          <w:szCs w:val="19"/>
        </w:rPr>
        <w:t xml:space="preserve">PENDENTE</w:t>
      </w:r>
    </w:p>
    <w:p>
      <w:pPr>
        <w:pBdr>
          <w:left w:val="single" w:color="1F4E79" w:sz="24" w:space="8"/>
        </w:pBdr>
        <w:shd w:fill="EAF1F8" w:val="clear"/>
        <w:spacing w:after="200"/>
        <w:ind w:left="200"/>
        <w:jc w:val="both"/>
      </w:pPr>
      <w:r>
        <w:rPr>
          <w:i/>
          <w:iCs/>
          <w:sz w:val="19"/>
          <w:szCs w:val="19"/>
        </w:rPr>
        <w:t xml:space="preserve">Ainda não recebemos uma base de Inse (2023) para cruzar com os resultados por SRE/RGInt. Esta seção fica de fora até chegar esse dado — o parágrafo interpretativo (regiões de menor Inse com pior Ideb, como em 2020) e o recálculo do coeficiente de correlação dependem dele.</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 no ensino médio, praticamente nenhuma escola estadual do estado atinge a marca de 6, e regionais como Januária e Teófilo Otoni concentram os piores resultados em quase todas as etapas e redes analisadas.</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 como o próprio recorte por rede sugere ter ocorrido na rede privada em 2025, onde a aprovação subiu mais que o aprendizado</w:t>
      </w:r>
      <w:r>
        <w:rPr>
          <w:rStyle w:val="FootnoteReference"/>
        </w:rPr>
        <w:footnoteReference w:id="6"/>
      </w:r>
      <w:r>
        <w:rPr>
          <w:sz w:val="21"/>
          <w:szCs w:val="21"/>
        </w:rPr>
        <w:t xml:space="preserve">. Isso não invalida seu uso como referência de acompanhamento, mas recomenda cautela na leitura de variações pontuais e reforça a importância de olhar os subíndices — e não apenas o resultado final —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abaixo mantém a maioria das referências de 2020, acrescida da Nota Informativa do Ideb 2025 (Inep). Falta reconferir se os links do Inep ainda resolvem antes de publicar.</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 elaboração e revisão —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Técnica do Inep sobre a metodologia de cálculo do Ideb.</w:t>
      </w:r>
    </w:p>
  </w:footnote>
  <w:footnote w:id="3">
    <w:p>
      <w:r>
        <w:rPr>
          <w:rStyle w:val="FootnoteReference"/>
        </w:rPr>
        <w:footnoteRef/>
      </w:r>
      <w:r>
        <w:rPr>
          <w:sz w:val="18"/>
          <w:szCs w:val="18"/>
        </w:rPr>
        <w:t xml:space="preserve">Compromisso Todos pela Educação, Decreto nº 6.094/2007; Nota Técnica do Inep sobre metas intermediárias.</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30915b895ac56839da097230717bb8c40cc6e8.png"/><Relationship Id="rId8" Type="http://schemas.openxmlformats.org/officeDocument/2006/relationships/image" Target="media/c221713b8a87c831e1ed81d8270d0e3ea4f02fbf.png"/><Relationship Id="rId9" Type="http://schemas.openxmlformats.org/officeDocument/2006/relationships/image" Target="media/6fdf9ea4e7444420744a701f4039a3b42d53295c.png"/><Relationship Id="rId10" Type="http://schemas.openxmlformats.org/officeDocument/2006/relationships/image" Target="media/5f25283a3339efcb83171ed61ac1b3126df1724e.png"/><Relationship Id="rId11" Type="http://schemas.openxmlformats.org/officeDocument/2006/relationships/image" Target="media/fa81293ccdc5e3bd7d74fb58dfccbf90570613f6.png"/><Relationship Id="rId12" Type="http://schemas.openxmlformats.org/officeDocument/2006/relationships/image" Target="media/b2492e08599cbe3dfe95acc72b8e529d211fc8dc.png"/><Relationship Id="rId13" Type="http://schemas.openxmlformats.org/officeDocument/2006/relationships/image" Target="media/4e388005c939305d9d71bce19b3e4d1f99d095ed.png"/><Relationship Id="rId14" Type="http://schemas.openxmlformats.org/officeDocument/2006/relationships/image" Target="media/32d8c0ac5f07d2d17c2a1045e06a60d889b717ea.png"/><Relationship Id="rId15" Type="http://schemas.openxmlformats.org/officeDocument/2006/relationships/image" Target="media/446f7fd6b9b17e0bf753ad54a657afe4c0d584ed.png"/><Relationship Id="rId16" Type="http://schemas.openxmlformats.org/officeDocument/2006/relationships/image" Target="media/f7886b7b235f7852d8a7cd57df77a44b7619219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2026-08-25T20:48:31.292Z</dcterms:created>
  <dcterms:modified xsi:type="dcterms:W3CDTF">2026-08-25T20:48:31.300Z</dcterms:modified>
</cp:coreProperties>
</file>

<file path=docProps/custom.xml><?xml version="1.0" encoding="utf-8"?>
<Properties xmlns="http://schemas.openxmlformats.org/officeDocument/2006/custom-properties" xmlns:vt="http://schemas.openxmlformats.org/officeDocument/2006/docPropsVTypes"/>
</file>