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orientar as diretrizes e políticas educacionais e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já passou por três novos ciclos de divulgação — 2021, 2023 e 2025 —,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(notas em provas de português e matemática) e o rendimento escolar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registrou Ideb de 5,3 nessa etapa (tanto na rede estadual quanto na pública), abaixo dos 6,0 pretendidos — mas também abaixo da meta mais recente fixada pelo próprio Plano Estadual de Educação para o período (5,5), embora a distância tenha diminuído bastante frente a 2023. O Brasil como um todo também está distante desse patamar, com Ideb de 5,1 (rede estadual) na mesma etapa em 2025.</w:t>
      </w:r>
    </w:p>
    <w:p>
      <w:pPr>
        <w:spacing w:after="80" w:before="120"/>
        <w:jc w:val="center"/>
      </w:pPr>
      <w:r>
        <w:drawing>
          <wp:inline distT="0" distB="0" distL="0" distR="0">
            <wp:extent cx="5715000" cy="263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3207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(2017-2019). Nos anos iniciais, o Ideb estadual passou de 6,2 para 6,7 entre 2023 e 2025; nos anos finais, de 4,6 para 5,3; e no ensino médio, de 4,0 para 4,5. Minas Gerais superou a média nacional em todas as etapas e redes comparáveis: 6,7 contra 6,4 nos anos iniciais (rede estadual), 5,3 contra 5,1 nos anos finais, e 4,5 contra 4,3 no ensino médio. À medida que se avança no processo de escolarização, o desempenho absoluto ainda cai — os anos finais e o ensino médio seguem com Ideb mais baixo que os anos iniciais —,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(6,0) ainda na década passada. O ciclo de 2021 marcou uma queda em todas as etapas, refletindo o impacto da pandemia de Covid-19 sobre a aprendizagem; em 2025, todas as três etapas atingiram os maiores valores da própria série histórica iniciada em 2005 (Gráfico 2).</w:t>
      </w:r>
    </w:p>
    <w:p>
      <w:pPr>
        <w:spacing w:after="20"/>
      </w:pPr>
      <w:r>
        <w:rPr>
          <w:i/>
          <w:iCs/>
          <w:color w:val="595959"/>
          <w:sz w:val="17"/>
          <w:szCs w:val="17"/>
        </w:rPr>
        <w:t xml:space="preserve">Fonte: Inep/MEC, divulgação Ideb 2025 (por município e por UF).</w:t>
      </w:r>
    </w:p>
    <w:p>
      <w:pPr>
        <w:spacing w:after="160"/>
      </w:pPr>
      <w:r>
        <w:rPr>
          <w:i/>
          <w:iCs/>
          <w:color w:val="595959"/>
          <w:sz w:val="17"/>
          <w:szCs w:val="17"/>
        </w:rPr>
        <w:t xml:space="preserve">Nota: Rede pública: considera as escolas municipais, estaduais e federais. A rede municipal, quando aparece nos Gráficos 1 e 5, é uma aproximação pela média simples dos municípios de MG —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de 6,2 para 6,7 na rede estadual e de 6,1 para 6,4 na rede pública. É o maior valor de toda a série iniciada em 2005, superando inclusive o patamar pré-pandemia (6,5, em 2017 e 2019). A queda de 2021 — quando o Ideb estadual recuou para 6,0 — foi, portanto, temporária: a etapa não só recuperou como ultrapassou a trajetória que vinha antes da pandemia.</w:t>
      </w:r>
    </w:p>
    <w:p>
      <w:pPr>
        <w:spacing w:after="80" w:before="120"/>
        <w:jc w:val="center"/>
      </w:pPr>
      <w:r>
        <w:drawing>
          <wp:inline distT="0" distB="0" distL="0" distR="0">
            <wp:extent cx="5715000" cy="34772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77260"/>
                    </a:xfrm>
                    <a:prstGeom prst="rect">
                      <a:avLst/>
                    </a:prstGeom>
                  </pic:spPr>
                </pic:pic>
              </a:graphicData>
            </a:graphic>
          </wp:inline>
        </w:drawing>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4772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77260"/>
                    </a:xfrm>
                    <a:prstGeom prst="rect">
                      <a:avLst/>
                    </a:prstGeom>
                  </pic:spPr>
                </pic:pic>
              </a:graphicData>
            </a:graphic>
          </wp:inline>
        </w:drawing>
      </w:r>
    </w:p>
    <w:p>
      <w:pPr>
        <w:spacing w:after="80" w:before="120"/>
        <w:jc w:val="center"/>
      </w:pPr>
      <w:r>
        <w:drawing>
          <wp:inline distT="0" distB="0" distL="0" distR="0">
            <wp:extent cx="5715000" cy="32943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94380"/>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(2023) para 5,3 (2025), o maior valor da série histórica — superando até o pico local de 2021 (5,0), atingido em condições atípicas de pandemia. A rede pública seguiu o mesmo padrão (de 4,7 para 5,3).</w:t>
      </w:r>
    </w:p>
    <w:p>
      <w:pPr>
        <w:spacing w:after="160" w:line="288"/>
        <w:jc w:val="both"/>
      </w:pPr>
      <w:r>
        <w:rPr>
          <w:sz w:val="21"/>
          <w:szCs w:val="21"/>
        </w:rPr>
        <w:t xml:space="preserve">No ensino médio, o Ideb estadual passou de 4,0, patamar em que estava estabilizado desde 2019, para 4,5 em 2025 — também recorde da série histórica. Vale registrar que o período avaliado (2023–2025) coincide com a consolidação do Novo Ensino Médio nas redes estaduais, reforma curricular implementada a partir de 2022 cujos efeitos sobre a organização da etapa ainda estão em avaliação; não é possível, com os dados disponíveis, isolar sua contribuição específica para o resultado.</w:t>
      </w:r>
    </w:p>
    <w:p>
      <w:pPr>
        <w:spacing w:after="160"/>
      </w:pPr>
      <w:r>
        <w:rPr>
          <w:i/>
          <w:iCs/>
          <w:color w:val="595959"/>
          <w:sz w:val="17"/>
          <w:szCs w:val="17"/>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 sinal de melhora "genuína", em que o avanço na aprovação veio acompanhado de aprendizagem maior, e não de uma aprovação mais frouxa. O padrão mais chamativo é o da rede privada: o rendimento subiu com força nas três etapas (o equivalente a 0,02 a 0,12 ponto de aprovação a mais), mas o desempenho no Saeb caiu nos anos iniciais e no ensino médio. Ou seja, a rede privada aprovou mais alunos sem que isso viesse acompanhado, em média, de mais aprendizagem — o inverso do movimento observado nas redes públicas.</w:t>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 a mesma posição de 2023 nos anos iniciais. No ensino médio, Minas subiu da 12ª para a 8ª posição (Ideb de 4,5).</w:t>
      </w:r>
    </w:p>
    <w:p>
      <w:pPr>
        <w:spacing w:after="160" w:line="288"/>
        <w:jc w:val="both"/>
      </w:pPr>
      <w:r>
        <w:rPr>
          <w:sz w:val="21"/>
          <w:szCs w:val="21"/>
        </w:rPr>
        <w:t xml:space="preserve">O avanço mais notável foi na rede pública dos anos finais do fundamental: Minas Gerais saltou da 16ª para a 4ª posição entre os estados, com alta de 0,6 ponto (de 4,7 para 5,3) — um dos maiores avanços do país nessa rede e etapa.</w:t>
      </w:r>
    </w:p>
    <w:p>
      <w:pPr>
        <w:spacing w:after="160"/>
      </w:pPr>
      <w:r>
        <w:rPr>
          <w:i/>
          <w:iCs/>
          <w:color w:val="595959"/>
          <w:sz w:val="17"/>
          <w:szCs w:val="17"/>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 rede estadual</w:t>
      </w:r>
    </w:p>
    <w:p>
      <w:pPr>
        <w:spacing w:after="80" w:before="120"/>
        <w:jc w:val="center"/>
      </w:pPr>
      <w:r>
        <w:drawing>
          <wp:inline distT="0" distB="0" distL="0" distR="0">
            <wp:extent cx="5461000" cy="65995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6599555"/>
                    </a:xfrm>
                    <a:prstGeom prst="rect">
                      <a:avLst/>
                    </a:prstGeom>
                  </pic:spPr>
                </pic:pic>
              </a:graphicData>
            </a:graphic>
          </wp:inline>
        </w:drawing>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322185"/>
                    </a:xfrm>
                    <a:prstGeom prst="rect">
                      <a:avLst/>
                    </a:prstGeom>
                  </pic:spPr>
                </pic:pic>
              </a:graphicData>
            </a:graphic>
          </wp:inline>
        </w:drawing>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322185"/>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 e em 12 delas, 100% das escolas atingem essa faixa. As SRE de Januária, Almenara e Carangola têm os menores percentuais nessa faixa (48% a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(43%), Muriaé (32%) e Poços de Caldas (29%) têm os maiores percentuais de escolas na faixa mais alta; já Teófilo Otoni e Unaí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(38%), Teófilo Otoni (33%) e Montes Claros (30%) concentram os maiores percentuais de escolas com Ideb abaixo de 4 nessa etapa.</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 já corrigido na planilha-fonte e nos gráficos.</w:t>
      </w:r>
    </w:p>
    <w:p>
      <w:pPr>
        <w:spacing w:after="160"/>
      </w:pPr>
      <w:r>
        <w:rPr>
          <w:i/>
          <w:iCs/>
          <w:color w:val="595959"/>
          <w:sz w:val="17"/>
          <w:szCs w:val="17"/>
        </w:rPr>
        <w:t xml:space="preserve">Fonte: Inep/MEC (Gráficos 6, 7 e 8).</w:t>
      </w:r>
    </w:p>
    <w:p>
      <w:pPr>
        <w:pStyle w:val="Heading2"/>
        <w:spacing w:after="120" w:before="220"/>
      </w:pPr>
      <w:r>
        <w:rPr>
          <w:b/>
          <w:bCs/>
          <w:color w:val="C00000"/>
          <w:sz w:val="24"/>
          <w:szCs w:val="24"/>
        </w:rPr>
        <w:t xml:space="preserve">Recorte regional — rede municipal</w:t>
      </w:r>
    </w:p>
    <w:p>
      <w:pPr>
        <w:spacing w:after="160" w:line="288"/>
        <w:jc w:val="both"/>
      </w:pPr>
      <w:r>
        <w:rPr>
          <w:sz w:val="21"/>
          <w:szCs w:val="21"/>
        </w:rPr>
        <w:t xml:space="preserve">Nos anos iniciais do ensino fundamental, 67% das escolas municipais de Minas Gerais têm Ideb igual ou acima de 6 — proporção menor que a da rede estadual na mesma etapa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3221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322185"/>
                    </a:xfrm>
                    <a:prstGeom prst="rect">
                      <a:avLst/>
                    </a:prstGeom>
                  </pic:spPr>
                </pic:pic>
              </a:graphicData>
            </a:graphic>
          </wp:inline>
        </w:drawing>
      </w:r>
    </w:p>
    <w:p>
      <w:pPr>
        <w:spacing w:after="80" w:before="120"/>
        <w:jc w:val="center"/>
      </w:pPr>
      <w:r>
        <w:drawing>
          <wp:inline distT="0" distB="0" distL="0" distR="0">
            <wp:extent cx="5461000" cy="71799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179945"/>
                    </a:xfrm>
                    <a:prstGeom prst="rect">
                      <a:avLst/>
                    </a:prstGeom>
                  </pic:spPr>
                </pic:pic>
              </a:graphicData>
            </a:graphic>
          </wp:inline>
        </w:drawing>
      </w:r>
    </w:p>
    <w:p>
      <w:pPr>
        <w:spacing w:after="160"/>
      </w:pPr>
      <w:r>
        <w:rPr>
          <w:i/>
          <w:iCs/>
          <w:color w:val="595959"/>
          <w:sz w:val="17"/>
          <w:szCs w:val="17"/>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 que já apareciam entre as de pior desempenho na rede estadual — estão também entre as de menor Inse médio do estado (2023). Em contrapartida, regionais como Uberlândia, Monte Carmelo, Pouso Alegre e Coronel Fabriciano, com Inse mais alto, tendem a ter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nos anos iniciais (r = 0,43; p &lt; 0,01) e nos anos finais (r = 0,41; p &lt; 0,01) do ensino fundamental —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três etapas (anos finais: r = -0,45, p &lt; 0,01; ensino médio: r = -0,67, p &lt; 0,001),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pPr>
      <w:r>
        <w:rPr>
          <w:i/>
          <w:iCs/>
          <w:color w:val="595959"/>
          <w:sz w:val="17"/>
          <w:szCs w:val="17"/>
        </w:rPr>
        <w:t xml:space="preserve">Fonte: Inep/MEC —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 como o próprio recorte por rede sugere ter ocorrido na rede privada em 2025, onde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olhar os subíndices — e não apenas o resultado final —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 mas todos foram copiados de fonte primária (os próprios arquivos do Inep ou indicados por vocês),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 elaboração e revisão —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30915b895ac56839da097230717bb8c40cc6e8.png"/><Relationship Id="rId8" Type="http://schemas.openxmlformats.org/officeDocument/2006/relationships/image" Target="media/c221713b8a87c831e1ed81d8270d0e3ea4f02fbf.png"/><Relationship Id="rId9" Type="http://schemas.openxmlformats.org/officeDocument/2006/relationships/image" Target="media/6fdf9ea4e7444420744a701f4039a3b42d53295c.png"/><Relationship Id="rId10" Type="http://schemas.openxmlformats.org/officeDocument/2006/relationships/image" Target="media/5f25283a3339efcb83171ed61ac1b3126df1724e.png"/><Relationship Id="rId11" Type="http://schemas.openxmlformats.org/officeDocument/2006/relationships/image" Target="media/fa81293ccdc5e3bd7d74fb58dfccbf90570613f6.png"/><Relationship Id="rId12" Type="http://schemas.openxmlformats.org/officeDocument/2006/relationships/image" Target="media/76cc4b358683be7d232e6153f176eaf6e8a44689.png"/><Relationship Id="rId13" Type="http://schemas.openxmlformats.org/officeDocument/2006/relationships/image" Target="media/b9154730b78556c9fd3567ac32cbc6431dca22bd.png"/><Relationship Id="rId14" Type="http://schemas.openxmlformats.org/officeDocument/2006/relationships/image" Target="media/077686cf1020f8b5fd4b33434578e0287febd795.png"/><Relationship Id="rId15" Type="http://schemas.openxmlformats.org/officeDocument/2006/relationships/image" Target="media/0d049ff83f81b4461c433be6abae05e9d161ef90.png"/><Relationship Id="rId16" Type="http://schemas.openxmlformats.org/officeDocument/2006/relationships/image" Target="media/33d65eaea15f6a5a0751a0f2c3e0b70ffffca6f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2026-08-26T01:33:33.661Z</dcterms:created>
  <dcterms:modified xsi:type="dcterms:W3CDTF">2026-08-26T01:33:33.661Z</dcterms:modified>
</cp:coreProperties>
</file>

<file path=docProps/custom.xml><?xml version="1.0" encoding="utf-8"?>
<Properties xmlns="http://schemas.openxmlformats.org/officeDocument/2006/custom-properties" xmlns:vt="http://schemas.openxmlformats.org/officeDocument/2006/docPropsVTypes"/>
</file>