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350"/>
        </w:tabs>
        <w:spacing w:after="40"/>
      </w:pPr>
      <w:r>
        <w:rPr>
          <w:color w:val="595959"/>
          <w:sz w:val="20"/>
          <w:szCs w:val="20"/>
        </w:rPr>
        <w:t xml:space="preserve">v. [?] n. [?], agosto 2026</w:t>
      </w:r>
      <w:r>
        <w:rPr>
          <w:color w:val="595959"/>
          <w:sz w:val="20"/>
          <w:szCs w:val="20"/>
        </w:rPr>
        <w:t xml:space="preserve">	Área Temática: Educação</w:t>
      </w:r>
    </w:p>
    <w:p>
      <w:pPr>
        <w:spacing w:after="300" w:before="300"/>
        <w:jc w:val="center"/>
      </w:pPr>
      <w:r>
        <w:rPr>
          <w:b/>
          <w:bCs/>
          <w:color w:val="C00000"/>
          <w:sz w:val="32"/>
          <w:szCs w:val="32"/>
        </w:rPr>
        <w:t xml:space="preserve">O desempenho da educação básica em Minas Gerais (Ideb): resultados de 2025</w:t>
      </w:r>
    </w:p>
    <w:p>
      <w:pPr>
        <w:spacing w:after="160" w:line="288"/>
        <w:jc w:val="both"/>
      </w:pPr>
      <w:r>
        <w:rPr>
          <w:sz w:val="21"/>
          <w:szCs w:val="21"/>
        </w:rPr>
        <w:t xml:space="preserve">O resultado do Índice de Desenvolvimento da Educação Básica (Ideb) de 2025 foi divulgado em agosto de 2026. Este informativo apresenta os principais resultados do índice para Minas Gerais considerando as diferentes etapas da educação básica (anos iniciais e finais do ensino fundamental e ensino médio) e as diferentes redes de ensino (municipal, estadual, privada e pública). Também apresenta os resultados para as superintendências regionais de ensino (SRE) do estado, coordenadorias regionais com a finalidade de supervisionar e orientar as diretrizes e políticas educacionais, além de cooperar e articular com os municípios.</w:t>
      </w:r>
      <w:r>
        <w:rPr>
          <w:rStyle w:val="FootnoteReference"/>
        </w:rPr>
        <w:footnoteReference w:id="1"/>
      </w:r>
    </w:p>
    <w:p>
      <w:pPr>
        <w:spacing w:after="160" w:line="288"/>
        <w:jc w:val="both"/>
      </w:pPr>
      <w:r>
        <w:rPr>
          <w:sz w:val="21"/>
          <w:szCs w:val="21"/>
        </w:rPr>
        <w:t xml:space="preserve">Desde a última edição deste informativo,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pPr>
        <w:spacing w:after="160" w:line="288"/>
        <w:jc w:val="both"/>
      </w:pPr>
      <w:r>
        <w:rPr>
          <w:sz w:val="21"/>
          <w:szCs w:val="21"/>
        </w:rPr>
        <w:t xml:space="preserve">Principal indicador de acompanhamento da qualidade da educação básica, o Ideb é importante porque avalia duas dimensões fundamentais do funcionamento do sistema educacional, o desempenho dos alunos na aprendizagem, medido pelas notas em provas de português e matemática, e o rendimento escolar, medido pelas taxas de aprovação dos estudantes nas séries</w:t>
      </w:r>
      <w:r>
        <w:rPr>
          <w:rStyle w:val="FootnoteReference"/>
        </w:rPr>
        <w:footnoteReference w:id="2"/>
      </w:r>
      <w:r>
        <w:rPr>
          <w:sz w:val="21"/>
          <w:szCs w:val="21"/>
        </w:rPr>
        <w:t xml:space="preserve">. Assim, ele é composto por dois subíndices, a nota média padronizada das provas, indicador que varia de zero a dez, e o indicador de rendimento, que varia de zero a um.</w:t>
      </w:r>
    </w:p>
    <w:p>
      <w:pPr>
        <w:spacing w:after="160" w:line="288"/>
        <w:jc w:val="both"/>
      </w:pPr>
      <w:r>
        <w:rPr>
          <w:sz w:val="21"/>
          <w:szCs w:val="21"/>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pPr>
        <w:pStyle w:val="Heading2"/>
        <w:spacing w:after="120" w:before="220"/>
      </w:pPr>
      <w:r>
        <w:rPr>
          <w:b/>
          <w:bCs/>
          <w:color w:val="C00000"/>
          <w:sz w:val="24"/>
          <w:szCs w:val="24"/>
        </w:rPr>
        <w:t xml:space="preserve">O desenvolvimento da educação em Minas Gerais</w:t>
      </w:r>
    </w:p>
    <w:p>
      <w:pPr>
        <w:spacing w:after="160" w:line="288"/>
        <w:jc w:val="both"/>
      </w:pPr>
      <w:r>
        <w:rPr>
          <w:sz w:val="21"/>
          <w:szCs w:val="21"/>
        </w:rPr>
        <w:t xml:space="preserve">O Gráfico 1 apresenta o Ideb de Minas Gerais de 2023 e 2025 para cada etapa de ensino e rede, com os valores de 2025 para o Brasil como base de comparação. Ela foi estabelecida tendo como referência o índice médio dos países membros da Organização para a Cooperação e Desenvolvimento Econômico (OCDE) em 2003, 6,0. Assim, o Compromisso Todos pela Educação de 2007 fixou como objetivo de longo prazo atingir um Ideb igual a 6,0 em 2021 na primeira etapa do ensino fundamental, em 2025, na segunda etapa e, em 2028, no ensino médio</w:t>
      </w:r>
      <w:r>
        <w:rPr>
          <w:rStyle w:val="FootnoteReference"/>
        </w:rPr>
        <w:footnoteReference w:id="3"/>
      </w:r>
      <w:r>
        <w:rPr>
          <w:sz w:val="21"/>
          <w:szCs w:val="21"/>
        </w:rPr>
        <w:t xml:space="preserve">.</w:t>
      </w:r>
    </w:p>
    <w:p>
      <w:pPr>
        <w:spacing w:after="160" w:line="288"/>
        <w:jc w:val="both"/>
      </w:pPr>
      <w:r>
        <w:rPr>
          <w:sz w:val="21"/>
          <w:szCs w:val="21"/>
        </w:rPr>
        <w:t xml:space="preserve">2025 é justamente o ano-alvo dessa meta de longo prazo para os anos finais do ensino fundamental. Minas Gerais não a alcançou. O estado registrou Ideb de 5,3 nessa etapa, tanto na rede estadual quanto na pública, abaixo dos 6,0 pretendidos e também abaixo da meta mais recente fixada pelo próprio Plano Estadual de Educação para o período, de 5,5, embora a distância em relação a 2023 tenha diminuído de forma expressiva. O Brasil como um todo também está distante desse patamar, com Ideb de 5,1 na rede estadual na mesma etapa em 2025.</w:t>
      </w:r>
    </w:p>
    <w:p>
      <w:pPr>
        <w:spacing w:after="80" w:before="120"/>
        <w:jc w:val="center"/>
      </w:pPr>
      <w:r>
        <w:drawing>
          <wp:inline distT="0" distB="0" distL="0" distR="0">
            <wp:extent cx="5715000" cy="236283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835"/>
                    </a:xfrm>
                    <a:prstGeom prst="rect">
                      <a:avLst/>
                    </a:prstGeom>
                  </pic:spPr>
                </pic:pic>
              </a:graphicData>
            </a:graphic>
          </wp:inline>
        </w:drawing>
      </w:r>
    </w:p>
    <w:p>
      <w:pPr>
        <w:spacing w:after="160" w:line="288"/>
        <w:jc w:val="both"/>
      </w:pPr>
      <w:r>
        <w:rPr>
          <w:sz w:val="21"/>
          <w:szCs w:val="21"/>
        </w:rPr>
        <w:t xml:space="preserve">De maneira geral, os dados de 2025 apontam para avanços em todas as etapas e redes, revertendo a estagnação observada na comparação anterior, entre 2017 e 2019. Nos anos iniciais, o Ideb estadual passou de 6,2 para 6,7 entre 2023 e 2025. Nos anos finais, a variação foi de 4,6 para 5,3 e, no ensino médio, de 4,0 para 4,5. Minas Gerais superou a média nacional em todas as etapas e redes comparáveis,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pPr>
        <w:spacing w:after="160" w:line="288"/>
        <w:jc w:val="both"/>
      </w:pPr>
      <w:r>
        <w:rPr>
          <w:sz w:val="21"/>
          <w:szCs w:val="21"/>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 (Gráfico 2).</w:t>
      </w:r>
    </w:p>
    <w:p>
      <w:pPr>
        <w:spacing w:after="20" w:before="100"/>
      </w:pPr>
      <w:r>
        <w:rPr>
          <w:i/>
          <w:iCs/>
          <w:color w:val="595959"/>
          <w:sz w:val="19"/>
          <w:szCs w:val="19"/>
        </w:rPr>
        <w:t xml:space="preserve">Fonte: Inep/MEC, divulgação Ideb 2025 (por município e por UF).</w:t>
      </w:r>
    </w:p>
    <w:p>
      <w:pPr>
        <w:spacing w:after="160" w:before="0"/>
      </w:pPr>
      <w:r>
        <w:rPr>
          <w:i/>
          <w:iCs/>
          <w:color w:val="595959"/>
          <w:sz w:val="19"/>
          <w:szCs w:val="19"/>
        </w:rPr>
        <w:t xml:space="preserve">Nota: rede pública considera as escolas municipais, estaduais e federais. A rede municipal, quando aparece nos Gráficos 1 e 5, é uma aproximação pela média simples dos municípios de MG (ver observação no próprio gráfico).</w:t>
      </w:r>
    </w:p>
    <w:p>
      <w:pPr>
        <w:pStyle w:val="Heading2"/>
        <w:spacing w:after="120" w:before="220"/>
      </w:pPr>
      <w:r>
        <w:rPr>
          <w:b/>
          <w:bCs/>
          <w:color w:val="C00000"/>
          <w:sz w:val="24"/>
          <w:szCs w:val="24"/>
        </w:rPr>
        <w:t xml:space="preserve">Anos iniciais do ensino fundamental</w:t>
      </w:r>
    </w:p>
    <w:p>
      <w:pPr>
        <w:spacing w:after="160" w:line="288"/>
        <w:jc w:val="both"/>
      </w:pPr>
      <w:r>
        <w:rPr>
          <w:sz w:val="21"/>
          <w:szCs w:val="21"/>
        </w:rPr>
        <w:t xml:space="preserve">Entre 2023 e 2025, o Ideb dos anos iniciais avançou em todas as redes de ensino em Minas Gerais, passando de 6,2 para 6,7 na rede estadual e de 6,1 para 6,4 na rede pública. Trata-se do maior valor de toda a série iniciada em 2005, superando inclusive o patamar pré-pandemia, de 6,5 em 2017 e 2019. A queda registrada em 2021, quando o Ideb estadual recuou para 6,0, foi portanto temporária, pois a etapa não apenas recuperou como ultrapassou a trajetória anterior à pandemia.</w:t>
      </w:r>
    </w:p>
    <w:p>
      <w:pPr>
        <w:spacing w:after="80" w:before="120"/>
        <w:jc w:val="center"/>
      </w:pPr>
      <w:r>
        <w:drawing>
          <wp:inline distT="0" distB="0" distL="0" distR="0">
            <wp:extent cx="5715000" cy="476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763770"/>
                    </a:xfrm>
                    <a:prstGeom prst="rect">
                      <a:avLst/>
                    </a:prstGeom>
                  </pic:spPr>
                </pic:pic>
              </a:graphicData>
            </a:graphic>
          </wp:inline>
        </w:drawing>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Anos finais do ensino fundamental e ensino médio</w:t>
      </w:r>
    </w:p>
    <w:p>
      <w:pPr>
        <w:spacing w:after="80" w:before="120"/>
        <w:jc w:val="center"/>
      </w:pPr>
      <w:r>
        <w:drawing>
          <wp:inline distT="0" distB="0" distL="0" distR="0">
            <wp:extent cx="5715000" cy="47637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763770"/>
                    </a:xfrm>
                    <a:prstGeom prst="rect">
                      <a:avLst/>
                    </a:prstGeom>
                  </pic:spPr>
                </pic:pic>
              </a:graphicData>
            </a:graphic>
          </wp:inline>
        </w:drawing>
      </w:r>
    </w:p>
    <w:p>
      <w:pPr>
        <w:spacing w:after="80" w:before="120"/>
        <w:jc w:val="center"/>
      </w:pPr>
      <w:r>
        <w:drawing>
          <wp:inline distT="0" distB="0" distL="0" distR="0">
            <wp:extent cx="5715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48150"/>
                    </a:xfrm>
                    <a:prstGeom prst="rect">
                      <a:avLst/>
                    </a:prstGeom>
                  </pic:spPr>
                </pic:pic>
              </a:graphicData>
            </a:graphic>
          </wp:inline>
        </w:drawing>
      </w:r>
    </w:p>
    <w:p>
      <w:pPr>
        <w:spacing w:after="160" w:line="288"/>
        <w:jc w:val="both"/>
      </w:pPr>
      <w:r>
        <w:rPr>
          <w:sz w:val="21"/>
          <w:szCs w:val="21"/>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w:t>
      </w:r>
    </w:p>
    <w:p>
      <w:pPr>
        <w:spacing w:after="160" w:line="288"/>
        <w:jc w:val="both"/>
      </w:pPr>
      <w:r>
        <w:rPr>
          <w:sz w:val="21"/>
          <w:szCs w:val="21"/>
        </w:rPr>
        <w:t xml:space="preserve">No ensino médio, o Ideb estadual passou de 4,0, patamar em que estava estabilizado desde 2019, para 4,5 em 2025, também recorde da série histórica. Vale registrar que o período avaliado, entre 2023 e 2025, coincide com a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w:t>
      </w:r>
    </w:p>
    <w:p>
      <w:pPr>
        <w:spacing w:after="160" w:before="100"/>
      </w:pPr>
      <w:r>
        <w:rPr>
          <w:i/>
          <w:iCs/>
          <w:color w:val="595959"/>
          <w:sz w:val="19"/>
          <w:szCs w:val="19"/>
        </w:rPr>
        <w:t xml:space="preserve">Fonte: Inep/MEC (ambos os gráficos).</w:t>
      </w:r>
    </w:p>
    <w:p>
      <w:pPr>
        <w:pStyle w:val="Heading2"/>
        <w:spacing w:after="120" w:before="220"/>
      </w:pPr>
      <w:r>
        <w:rPr>
          <w:b/>
          <w:bCs/>
          <w:color w:val="C00000"/>
          <w:sz w:val="24"/>
          <w:szCs w:val="24"/>
        </w:rPr>
        <w:t xml:space="preserve">Subíndices: rendimento × desempenho</w:t>
      </w:r>
    </w:p>
    <w:p>
      <w:pPr>
        <w:spacing w:after="160" w:line="288"/>
        <w:jc w:val="both"/>
      </w:pPr>
      <w:r>
        <w:rPr>
          <w:sz w:val="21"/>
          <w:szCs w:val="21"/>
        </w:rPr>
        <w:t xml:space="preserve">Como o Ideb sintetiza os resultados de rendimento e desempenho, é importante entender o comportamento dos seus subíndices. O Gráfico 5 mostra a variação percentual do desempenho (nota média padronizada obtida pelo Saeb) e do rendimento (indicador de aprovação) entre 2023 e 2025, em cada rede de ensino.</w:t>
      </w:r>
    </w:p>
    <w:p>
      <w:pPr>
        <w:spacing w:after="80" w:before="120"/>
        <w:jc w:val="center"/>
      </w:pPr>
      <w:r>
        <w:drawing>
          <wp:inline distT="0" distB="0" distL="0" distR="0">
            <wp:extent cx="5715000" cy="26079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7945"/>
                    </a:xfrm>
                    <a:prstGeom prst="rect">
                      <a:avLst/>
                    </a:prstGeom>
                  </pic:spPr>
                </pic:pic>
              </a:graphicData>
            </a:graphic>
          </wp:inline>
        </w:drawing>
      </w:r>
    </w:p>
    <w:p>
      <w:pPr>
        <w:spacing w:after="160" w:line="288"/>
        <w:jc w:val="both"/>
      </w:pPr>
      <w:r>
        <w:rPr>
          <w:sz w:val="21"/>
          <w:szCs w:val="21"/>
        </w:rPr>
        <w:t xml:space="preserve">Nas redes pública e estadual, os dois subíndices subiram juntos nas três etapas, o que sinaliza uma melhora genuína, em que o avanço na aprovação veio acompanhado de aprendizagem maior, e não de uma aprovação mais frouxa. O padrão mais chamativo é o da rede privada, cujo rendimento ficou estável nos anos iniciais e subiu nos anos finais e no ensino médio, entre 0,3% e 14,0%, mas cujo desempenho no Saeb caiu nas três etapas. Ou seja, a rede privada aprovou mais alunos sem que isso viesse acompanhado, em média, de mais aprendizagem, movimento inverso ao observado nas redes públicas.</w:t>
      </w:r>
    </w:p>
    <w:p>
      <w:pPr>
        <w:spacing w:after="160" w:before="100"/>
      </w:pPr>
      <w:r>
        <w:rPr>
          <w:i/>
          <w:iCs/>
          <w:color w:val="595959"/>
          <w:sz w:val="19"/>
          <w:szCs w:val="19"/>
        </w:rPr>
        <w:t xml:space="preserve">Fonte: Inep/MEC.</w:t>
      </w:r>
    </w:p>
    <w:p>
      <w:pPr>
        <w:pStyle w:val="Heading2"/>
        <w:spacing w:after="120" w:before="220"/>
      </w:pPr>
      <w:r>
        <w:rPr>
          <w:b/>
          <w:bCs/>
          <w:color w:val="C00000"/>
          <w:sz w:val="24"/>
          <w:szCs w:val="24"/>
        </w:rPr>
        <w:t xml:space="preserve">E o desempenho da rede estadual?</w:t>
      </w:r>
    </w:p>
    <w:p>
      <w:pPr>
        <w:spacing w:after="160" w:line="288"/>
        <w:jc w:val="both"/>
      </w:pPr>
      <w:r>
        <w:rPr>
          <w:sz w:val="21"/>
          <w:szCs w:val="21"/>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pPr>
        <w:spacing w:after="160" w:line="288"/>
        <w:jc w:val="both"/>
      </w:pPr>
      <w:r>
        <w:rPr>
          <w:sz w:val="21"/>
          <w:szCs w:val="21"/>
        </w:rPr>
        <w:t xml:space="preserve">O avanço mais notável ocorreu na rede pública dos anos finais do fundamental. Minas Gerais saltou da 16ª para a 4ª posição entre os estados, com alta de 0,6 ponto, de 4,7 para 5,3, um dos maiores avanços do país nessa rede e etapa.</w:t>
      </w:r>
    </w:p>
    <w:p>
      <w:pPr>
        <w:spacing w:after="160" w:before="100"/>
      </w:pPr>
      <w:r>
        <w:rPr>
          <w:i/>
          <w:iCs/>
          <w:color w:val="595959"/>
          <w:sz w:val="19"/>
          <w:szCs w:val="19"/>
        </w:rPr>
        <w:t xml:space="preserve">Fonte: Inep/MEC, divulgação Ideb 2025 por UF (ranking calculado sobre as 27 unidades da federação).</w:t>
      </w:r>
    </w:p>
    <w:p>
      <w:pPr>
        <w:spacing w:after="80" w:before="120"/>
        <w:jc w:val="center"/>
      </w:pPr>
      <w:r>
        <w:drawing>
          <wp:inline distT="0" distB="0" distL="0" distR="0">
            <wp:extent cx="5461000" cy="706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61000" cy="7067550"/>
                    </a:xfrm>
                    <a:prstGeom prst="rect">
                      <a:avLst/>
                    </a:prstGeom>
                  </pic:spPr>
                </pic:pic>
              </a:graphicData>
            </a:graphic>
          </wp:inline>
        </w:drawing>
      </w:r>
    </w:p>
    <w:p>
      <w:pPr>
        <w:spacing w:after="160" w:before="100"/>
      </w:pPr>
      <w:r>
        <w:rPr>
          <w:i/>
          <w:iCs/>
          <w:color w:val="595959"/>
          <w:sz w:val="19"/>
          <w:szCs w:val="19"/>
        </w:rPr>
        <w:t xml:space="preserve">Fonte: Inep/MEC (Gráfico 6).</w:t>
      </w:r>
    </w:p>
    <w:p>
      <w:pPr>
        <w:pStyle w:val="Heading2"/>
        <w:spacing w:after="120" w:before="220"/>
      </w:pPr>
      <w:r>
        <w:rPr>
          <w:b/>
          <w:bCs/>
          <w:color w:val="C00000"/>
          <w:sz w:val="24"/>
          <w:szCs w:val="24"/>
        </w:rPr>
        <w:t xml:space="preserve">Recorte regional: rede estadual</w:t>
      </w:r>
    </w:p>
    <w:p>
      <w:pPr>
        <w:spacing w:after="80" w:before="120"/>
        <w:jc w:val="center"/>
      </w:pPr>
      <w:r>
        <w:drawing>
          <wp:inline distT="0" distB="0" distL="0" distR="0">
            <wp:extent cx="5461000" cy="712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61000" cy="7127875"/>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61000" cy="7840980"/>
                    </a:xfrm>
                    <a:prstGeom prst="rect">
                      <a:avLst/>
                    </a:prstGeom>
                  </pic:spPr>
                </pic:pic>
              </a:graphicData>
            </a:graphic>
          </wp:inline>
        </w:drawing>
      </w:r>
    </w:p>
    <w:p>
      <w:pPr>
        <w:spacing w:after="160" w:line="288"/>
        <w:jc w:val="both"/>
      </w:pPr>
      <w:r>
        <w:rPr>
          <w:sz w:val="21"/>
          <w:szCs w:val="21"/>
        </w:rPr>
        <w:t xml:space="preserve">Nos anos iniciais, o quadro regional é bastante positivo. Em 34 das SRE analisadas, mais de 90% das escolas estaduais têm Ideb igual ou acima de 6, e em 12 delas todas as escolas atingem essa faixa. As SRE de Januária, Almenara e Carangola apresentam os menores percentuais nessa faixa, entre 48% e 50%, ainda assim a maioria das escolas.</w:t>
      </w:r>
    </w:p>
    <w:p>
      <w:pPr>
        <w:spacing w:after="160" w:line="288"/>
        <w:jc w:val="both"/>
      </w:pPr>
      <w:r>
        <w:rPr>
          <w:sz w:val="21"/>
          <w:szCs w:val="21"/>
        </w:rPr>
        <w:t xml:space="preserve">Avançando no ciclo escolar,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w:t>
      </w:r>
    </w:p>
    <w:p>
      <w:pPr>
        <w:spacing w:after="160" w:line="288"/>
        <w:jc w:val="both"/>
      </w:pPr>
      <w:r>
        <w:rPr>
          <w:sz w:val="21"/>
          <w:szCs w:val="21"/>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w:t>
      </w:r>
    </w:p>
    <w:p>
      <w:pPr>
        <w:pBdr>
          <w:left w:val="single" w:color="1F4E79" w:sz="24" w:space="8"/>
        </w:pBdr>
        <w:shd w:fill="EAF1F8" w:val="clear"/>
        <w:spacing w:after="40" w:before="120"/>
        <w:ind w:left="200"/>
      </w:pPr>
      <w:r>
        <w:rPr>
          <w:b/>
          <w:bCs/>
          <w:color w:val="1F4E79"/>
          <w:sz w:val="19"/>
          <w:szCs w:val="19"/>
        </w:rPr>
        <w:t xml:space="preserve">OBSERVAÇÃO METODOLÓGICA</w:t>
      </w:r>
    </w:p>
    <w:p>
      <w:pPr>
        <w:pBdr>
          <w:left w:val="single" w:color="1F4E79" w:sz="24" w:space="8"/>
        </w:pBdr>
        <w:shd w:fill="EAF1F8" w:val="clear"/>
        <w:spacing w:after="60"/>
        <w:ind w:left="200"/>
        <w:jc w:val="both"/>
      </w:pPr>
      <w:r>
        <w:rPr>
          <w:i/>
          <w:iCs/>
          <w:sz w:val="19"/>
          <w:szCs w:val="19"/>
        </w:rPr>
        <w:t xml:space="preserve">Nos Gráficos 7 a 9, SRE com menos de 3 escolas naquela rede/etapa foram omitidas para evitar percentuais de "tudo ou nada" sem significado (afetou Campo Belo, Curvelo, Itajubá, Metropolitana A e Pirapora, só nos anos iniciais). É um corte mais simples do que o critério de participação usado pelo Inep para divulgar resultado por escola (10 alunos presentes e 80% de participação), que não pôde ser aplicado aqui porque os arquivos de divulgação não trazem o número de alunos avaliados, apenas o Ideb já calculado.</w:t>
      </w:r>
    </w:p>
    <w:p>
      <w:pPr>
        <w:pBdr>
          <w:left w:val="single" w:color="1F4E79" w:sz="24" w:space="8"/>
        </w:pBdr>
        <w:shd w:fill="EAF1F8" w:val="clear"/>
        <w:spacing w:after="200"/>
        <w:ind w:left="200"/>
        <w:jc w:val="both"/>
      </w:pPr>
      <w:r>
        <w:rPr>
          <w:i/>
          <w:iCs/>
          <w:sz w:val="19"/>
          <w:szCs w:val="19"/>
        </w:rPr>
        <w:t xml:space="preserve">Belo Horizonte foi reclassificada de "Metropolitana", rótulo genérico que vinha no cruzamento, para SRE Metropolitana C, conforme a SEE-MG. Correção já aplicada na planilha-fonte e nos gráficos.</w:t>
      </w:r>
    </w:p>
    <w:p>
      <w:pPr>
        <w:spacing w:after="160" w:before="100"/>
      </w:pPr>
      <w:r>
        <w:rPr>
          <w:i/>
          <w:iCs/>
          <w:color w:val="595959"/>
          <w:sz w:val="19"/>
          <w:szCs w:val="19"/>
        </w:rPr>
        <w:t xml:space="preserve">Fonte: Inep/MEC (Gráficos 7, 8 e 9).</w:t>
      </w:r>
    </w:p>
    <w:p>
      <w:pPr>
        <w:pStyle w:val="Heading2"/>
        <w:spacing w:after="120" w:before="220"/>
      </w:pPr>
      <w:r>
        <w:rPr>
          <w:b/>
          <w:bCs/>
          <w:color w:val="C00000"/>
          <w:sz w:val="24"/>
          <w:szCs w:val="24"/>
        </w:rPr>
        <w:t xml:space="preserve">Recorte regional: rede municipal</w:t>
      </w:r>
    </w:p>
    <w:p>
      <w:pPr>
        <w:spacing w:after="160" w:line="288"/>
        <w:jc w:val="both"/>
      </w:pPr>
      <w:r>
        <w:rPr>
          <w:sz w:val="21"/>
          <w:szCs w:val="21"/>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Pr>
          <w:rStyle w:val="FootnoteReference"/>
        </w:rPr>
        <w:footnoteReference w:id="4"/>
      </w:r>
      <w:r>
        <w:rPr>
          <w:sz w:val="21"/>
          <w:szCs w:val="21"/>
        </w:rPr>
        <w:t xml:space="preserve">.</w:t>
      </w:r>
    </w:p>
    <w:p>
      <w:pPr>
        <w:spacing w:after="80" w:before="120"/>
        <w:jc w:val="center"/>
      </w:pPr>
      <w:r>
        <w:drawing>
          <wp:inline distT="0" distB="0" distL="0" distR="0">
            <wp:extent cx="5461000" cy="78409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61000" cy="7840980"/>
                    </a:xfrm>
                    <a:prstGeom prst="rect">
                      <a:avLst/>
                    </a:prstGeom>
                  </pic:spPr>
                </pic:pic>
              </a:graphicData>
            </a:graphic>
          </wp:inline>
        </w:drawing>
      </w:r>
    </w:p>
    <w:p>
      <w:pPr>
        <w:spacing w:after="80" w:before="120"/>
        <w:jc w:val="center"/>
      </w:pPr>
      <w:r>
        <w:drawing>
          <wp:inline distT="0" distB="0" distL="0" distR="0">
            <wp:extent cx="5461000" cy="76987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61000" cy="7698740"/>
                    </a:xfrm>
                    <a:prstGeom prst="rect">
                      <a:avLst/>
                    </a:prstGeom>
                  </pic:spPr>
                </pic:pic>
              </a:graphicData>
            </a:graphic>
          </wp:inline>
        </w:drawing>
      </w:r>
    </w:p>
    <w:p>
      <w:pPr>
        <w:spacing w:after="160" w:before="100"/>
      </w:pPr>
      <w:r>
        <w:rPr>
          <w:i/>
          <w:iCs/>
          <w:color w:val="595959"/>
          <w:sz w:val="19"/>
          <w:szCs w:val="19"/>
        </w:rPr>
        <w:t xml:space="preserve">Fonte: Inep/MEC (Gráficos 10 e 11).</w:t>
      </w:r>
    </w:p>
    <w:p>
      <w:pPr>
        <w:pStyle w:val="Heading2"/>
        <w:spacing w:after="120" w:before="220"/>
      </w:pPr>
      <w:r>
        <w:rPr>
          <w:b/>
          <w:bCs/>
          <w:color w:val="C00000"/>
          <w:sz w:val="24"/>
          <w:szCs w:val="24"/>
        </w:rPr>
        <w:t xml:space="preserve">Nível socioeconômico (Inse)</w:t>
      </w:r>
    </w:p>
    <w:p>
      <w:pPr>
        <w:spacing w:after="160" w:line="288"/>
        <w:jc w:val="both"/>
      </w:pPr>
      <w:r>
        <w:rPr>
          <w:sz w:val="21"/>
          <w:szCs w:val="21"/>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Pr>
          <w:rStyle w:val="FootnoteReference"/>
        </w:rPr>
        <w:footnoteReference w:id="5"/>
      </w:r>
      <w:r>
        <w:rPr>
          <w:sz w:val="21"/>
          <w:szCs w:val="21"/>
        </w:rPr>
        <w:t xml:space="preserve">. Assim, regiões com melhor poder aquisitivo dos seus alunos tendem a ter um Ideb mais alto.</w:t>
      </w:r>
    </w:p>
    <w:p>
      <w:pPr>
        <w:spacing w:after="160" w:line="288"/>
        <w:jc w:val="both"/>
      </w:pPr>
      <w:r>
        <w:rPr>
          <w:sz w:val="21"/>
          <w:szCs w:val="21"/>
        </w:rPr>
        <w:t xml:space="preserve">O cruzamento confirma o padrão. As SRE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pPr>
        <w:spacing w:after="160" w:line="288"/>
        <w:jc w:val="both"/>
      </w:pPr>
      <w:r>
        <w:rPr>
          <w:sz w:val="21"/>
          <w:szCs w:val="21"/>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nas etapas em que pôde ser calculada, com r = -0,45 (p &lt; 0,01) nos anos finais e r = -0,67 (p &lt; 0,001) no ensino médio, confirmando que SRE com nível socioeconômico mais baixo concentram, proporcionalmente, mais escolas com desempenho crítico</w:t>
      </w:r>
      <w:r>
        <w:rPr>
          <w:rStyle w:val="FootnoteReference"/>
        </w:rPr>
        <w:footnoteReference w:id="6"/>
      </w:r>
      <w:r>
        <w:rPr>
          <w:sz w:val="21"/>
          <w:szCs w:val="21"/>
        </w:rPr>
        <w:t xml:space="preserve">.</w:t>
      </w:r>
    </w:p>
    <w:p>
      <w:pPr>
        <w:spacing w:after="160" w:before="100"/>
      </w:pPr>
      <w:r>
        <w:rPr>
          <w:i/>
          <w:iCs/>
          <w:color w:val="595959"/>
          <w:sz w:val="19"/>
          <w:szCs w:val="19"/>
        </w:rPr>
        <w:t xml:space="preserve">Fonte: Inep/MEC, Indicador de Nível Socioeconômico das Escolas de Educação Básica (Inse), edição 2023.</w:t>
      </w:r>
    </w:p>
    <w:p>
      <w:pPr>
        <w:pStyle w:val="Heading2"/>
        <w:spacing w:after="120" w:before="220"/>
      </w:pPr>
      <w:r>
        <w:rPr>
          <w:b/>
          <w:bCs/>
          <w:color w:val="C00000"/>
          <w:sz w:val="24"/>
          <w:szCs w:val="24"/>
        </w:rPr>
        <w:t xml:space="preserve">O que os dados do Ideb informam</w:t>
      </w:r>
    </w:p>
    <w:p>
      <w:pPr>
        <w:spacing w:after="160" w:line="288"/>
        <w:jc w:val="both"/>
      </w:pPr>
      <w:r>
        <w:rPr>
          <w:sz w:val="21"/>
          <w:szCs w:val="21"/>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pPr>
        <w:spacing w:after="160" w:line="288"/>
        <w:jc w:val="both"/>
      </w:pPr>
      <w:r>
        <w:rPr>
          <w:sz w:val="21"/>
          <w:szCs w:val="21"/>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pPr>
        <w:spacing w:after="160" w:line="288"/>
        <w:jc w:val="both"/>
      </w:pPr>
      <w:r>
        <w:rPr>
          <w:sz w:val="21"/>
          <w:szCs w:val="21"/>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Pr>
          <w:rStyle w:val="FootnoteReference"/>
        </w:rPr>
        <w:footnoteReference w:id="7"/>
      </w:r>
      <w:r>
        <w:rPr>
          <w:sz w:val="21"/>
          <w:szCs w:val="21"/>
        </w:rPr>
        <w:t xml:space="preserve">. Isso não invalida seu uso como referência de acompanhamento, mas recomenda cautela na leitura de variações pontuais e reforça a importância de observar os subíndices, e não apenas o resultado final, na análise de política educacional.</w:t>
      </w:r>
    </w:p>
    <w:p>
      <w:pPr>
        <w:pStyle w:val="Heading2"/>
        <w:spacing w:after="120" w:before="220"/>
      </w:pPr>
      <w:r>
        <w:rPr>
          <w:b/>
          <w:bCs/>
          <w:color w:val="C00000"/>
          <w:sz w:val="24"/>
          <w:szCs w:val="24"/>
        </w:rPr>
        <w:t xml:space="preserve">Notas de rodapé e referências</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Lista de notas de rodapé atualizada com os links das notas técnicas e informativas do Inep (2021 e 2025) e do Inse 2023, além da Nota Informativa do Ideb 2025. Como não temos acesso à internet por aqui para clicar e confirmar cada um, vale uma checagem rápida antes de publicar. Todos, no entanto, foram copiados de fonte primária, os próprios arquivos do Inep ou indicados por vocês, e não buscados de memória.</w:t>
      </w:r>
    </w:p>
    <w:p>
      <w:pPr>
        <w:pStyle w:val="Heading2"/>
        <w:spacing w:after="120" w:before="220"/>
      </w:pPr>
      <w:r>
        <w:rPr>
          <w:b/>
          <w:bCs/>
          <w:color w:val="C00000"/>
          <w:sz w:val="24"/>
          <w:szCs w:val="24"/>
        </w:rPr>
        <w:t xml:space="preserve">Expediente</w:t>
      </w:r>
    </w:p>
    <w:p>
      <w:pPr>
        <w:spacing w:after="160" w:line="288"/>
        <w:jc w:val="both"/>
      </w:pPr>
      <w:r>
        <w:rPr>
          <w:sz w:val="21"/>
          <w:szCs w:val="21"/>
        </w:rPr>
        <w:t xml:space="preserve">Mantido como em 2020 (Presidência, diretorias, Assessoria de Comunicação Social).</w:t>
      </w:r>
    </w:p>
    <w:p>
      <w:pPr>
        <w:pBdr>
          <w:left w:val="single" w:color="1F4E79" w:sz="24" w:space="8"/>
        </w:pBdr>
        <w:shd w:fill="EAF1F8" w:val="clear"/>
        <w:spacing w:after="40" w:before="120"/>
        <w:ind w:left="200"/>
      </w:pPr>
      <w:r>
        <w:rPr>
          <w:b/>
          <w:bCs/>
          <w:color w:val="1F4E79"/>
          <w:sz w:val="19"/>
          <w:szCs w:val="19"/>
        </w:rPr>
        <w:t xml:space="preserve">AJUSTE</w:t>
      </w:r>
    </w:p>
    <w:p>
      <w:pPr>
        <w:pBdr>
          <w:left w:val="single" w:color="1F4E79" w:sz="24" w:space="8"/>
        </w:pBdr>
        <w:shd w:fill="EAF1F8" w:val="clear"/>
        <w:spacing w:after="200"/>
        <w:ind w:left="200"/>
        <w:jc w:val="both"/>
      </w:pPr>
      <w:r>
        <w:rPr>
          <w:i/>
          <w:iCs/>
          <w:sz w:val="19"/>
          <w:szCs w:val="19"/>
        </w:rPr>
        <w:t xml:space="preserve">Confirmar se a equipe da Coordenação de Pesquisas em Políticas Públicas (elaboração e revisão) mudou desde 2020, antes de publicar os nomes.</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Fernandes, R. Índice de Desenvolvimento da Educação Básica (Ideb). Textos para discussão, n.26, Brasília: Inep, 2007.</w:t>
      </w:r>
    </w:p>
  </w:footnote>
  <w:footnote w:id="2">
    <w:p>
      <w:r>
        <w:rPr>
          <w:rStyle w:val="FootnoteReference"/>
        </w:rPr>
        <w:footnoteRef/>
      </w:r>
      <w:r>
        <w:rPr>
          <w:sz w:val="18"/>
          <w:szCs w:val="18"/>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p>
  </w:footnote>
  <w:footnote w:id="3">
    <w:p>
      <w:r>
        <w:rPr>
          <w:rStyle w:val="FootnoteReference"/>
        </w:rPr>
        <w:footnoteRef/>
      </w:r>
      <w:r>
        <w:rPr>
          <w:sz w:val="18"/>
          <w:szCs w:val="18"/>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p>
  </w:footnote>
  <w:footnote w:id="4">
    <w:p>
      <w:r>
        <w:rPr>
          <w:rStyle w:val="FootnoteReference"/>
        </w:rPr>
        <w:footnoteRef/>
      </w:r>
      <w:r>
        <w:rPr>
          <w:sz w:val="18"/>
          <w:szCs w:val="18"/>
        </w:rPr>
        <w:t xml:space="preserve">Ensino médio não é analisado na rede municipal por ter poucas escolas municipais ofertantes dessa etapa.</w:t>
      </w:r>
    </w:p>
  </w:footnote>
  <w:footnote w:id="5">
    <w:p>
      <w:r>
        <w:rPr>
          <w:rStyle w:val="FootnoteReference"/>
        </w:rPr>
        <w:footnoteRef/>
      </w:r>
      <w:r>
        <w:rPr>
          <w:sz w:val="18"/>
          <w:szCs w:val="18"/>
        </w:rPr>
        <w:t xml:space="preserve">Soares &amp; Pereira Xavier, 2013; Figueiredo et al., 2018; Souza, Costa &amp; Riani, 2019.</w:t>
      </w:r>
    </w:p>
  </w:footnote>
  <w:footnote w:id="6">
    <w:p>
      <w:r>
        <w:rPr>
          <w:rStyle w:val="FootnoteReference"/>
        </w:rPr>
        <w:footnoteRef/>
      </w:r>
      <w:r>
        <w:rPr>
          <w:sz w:val="18"/>
          <w:szCs w:val="18"/>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p>
  </w:footnote>
  <w:footnote w:id="7">
    <w:p>
      <w:r>
        <w:rPr>
          <w:rStyle w:val="FootnoteReference"/>
        </w:rPr>
        <w:footnoteRef/>
      </w:r>
      <w:r>
        <w:rPr>
          <w:sz w:val="18"/>
          <w:szCs w:val="18"/>
        </w:rPr>
        <w:t xml:space="preserve">Figueiredo, D., Carmo, E., Maia, R. e Silva, L. Os cavalos também caem: tratado das inconsistências do Ideb. Ensaio: avaliação e políticas públicas em educação, v.26, n.100, 2018.</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5689803158ba07ef8e0b38da49c502e32a9596.png"/><Relationship Id="rId8" Type="http://schemas.openxmlformats.org/officeDocument/2006/relationships/image" Target="media/a295f15b43513a5983bea2534f01c07745ba5096.png"/><Relationship Id="rId9" Type="http://schemas.openxmlformats.org/officeDocument/2006/relationships/image" Target="media/850fd92b3ba5362e2f2a77a75ccf92895afac72e.png"/><Relationship Id="rId10" Type="http://schemas.openxmlformats.org/officeDocument/2006/relationships/image" Target="media/d6721851bd984a0dad145aba2707b2967e0e7813.png"/><Relationship Id="rId11" Type="http://schemas.openxmlformats.org/officeDocument/2006/relationships/image" Target="media/9cd48f1cf7cf3602b7e15f3c1d30e62066f8d0a2.png"/><Relationship Id="rId12" Type="http://schemas.openxmlformats.org/officeDocument/2006/relationships/image" Target="media/29cdd321cc3adf8a19bf7bf02eee05770d58c6e1.png"/><Relationship Id="rId13" Type="http://schemas.openxmlformats.org/officeDocument/2006/relationships/image" Target="media/4d9a2522dfd8826f6141ffd4acfbfcd625e1bdeb.png"/><Relationship Id="rId14" Type="http://schemas.openxmlformats.org/officeDocument/2006/relationships/image" Target="media/61678639cef2a7e7014f1eb08b56f145f5181e06.png"/><Relationship Id="rId15" Type="http://schemas.openxmlformats.org/officeDocument/2006/relationships/image" Target="media/f25282a1be0b9a8fbc98adea2c4475af4bb8aa97.png"/><Relationship Id="rId16" Type="http://schemas.openxmlformats.org/officeDocument/2006/relationships/image" Target="media/66696aa13f924397c43fe0fa47fefde28d868ecb.png"/><Relationship Id="rId17" Type="http://schemas.openxmlformats.org/officeDocument/2006/relationships/image" Target="media/561da69ca714df283fde751c6449b81e2f649ad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2026-08-27T20:22:13.281Z</dcterms:created>
  <dcterms:modified xsi:type="dcterms:W3CDTF">2026-08-27T20:22:13.282Z</dcterms:modified>
</cp:coreProperties>
</file>

<file path=docProps/custom.xml><?xml version="1.0" encoding="utf-8"?>
<Properties xmlns="http://schemas.openxmlformats.org/officeDocument/2006/custom-properties" xmlns:vt="http://schemas.openxmlformats.org/officeDocument/2006/docPropsVTypes"/>
</file>