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50"/>
        </w:tabs>
        <w:spacing w:after="40"/>
      </w:pPr>
      <w:r>
        <w:rPr>
          <w:color w:val="595959"/>
          <w:sz w:val="20"/>
          <w:szCs w:val="20"/>
        </w:rPr>
        <w:t xml:space="preserve">v. [?] n. [?] — [mês] 2026</w:t>
      </w:r>
      <w:r>
        <w:rPr>
          <w:color w:val="595959"/>
          <w:sz w:val="20"/>
          <w:szCs w:val="20"/>
        </w:rPr>
        <w:t xml:space="preserve">	Área Temática: Educação</w:t>
      </w:r>
    </w:p>
    <w:p>
      <w:pPr>
        <w:spacing w:after="60" w:before="300"/>
        <w:jc w:val="center"/>
      </w:pPr>
      <w:r>
        <w:rPr>
          <w:b/>
          <w:bCs/>
          <w:color w:val="9C4500"/>
          <w:sz w:val="18"/>
          <w:szCs w:val="18"/>
        </w:rPr>
        <w:t xml:space="preserve">RASCUNHO DE TRABALHO — NÃO É O TEXTO FINAL</w:t>
      </w:r>
    </w:p>
    <w:p>
      <w:pPr>
        <w:spacing w:after="300" w:before="0"/>
        <w:jc w:val="center"/>
      </w:pPr>
      <w:r>
        <w:rPr>
          <w:i/>
          <w:iCs/>
          <w:color w:val="595959"/>
          <w:sz w:val="17"/>
          <w:szCs w:val="17"/>
        </w:rPr>
        <w:t xml:space="preserve">Trechos em laranja (🔲 DADO NECESSÁRIO) marcam onde falta número da planilha oficial de 2025. Trechos em azul marcam decisões/ajustes já aplicados conforme a estrutura combinada.</w:t>
      </w:r>
    </w:p>
    <w:p>
      <w:pPr>
        <w:spacing w:after="300"/>
        <w:jc w:val="center"/>
      </w:pPr>
      <w:r>
        <w:rPr>
          <w:b/>
          <w:bCs/>
          <w:color w:val="C00000"/>
          <w:sz w:val="32"/>
          <w:szCs w:val="32"/>
        </w:rPr>
        <w:t xml:space="preserve">O desempenho da educação básica em Minas Gerais (Ideb) — resultados de 2025</w:t>
      </w:r>
    </w:p>
    <w:p>
      <w:pPr>
        <w:spacing w:after="160" w:line="288"/>
        <w:jc w:val="both"/>
      </w:pPr>
      <w:r>
        <w:rPr>
          <w:sz w:val="21"/>
          <w:szCs w:val="21"/>
        </w:rPr>
        <w:t xml:space="preserve">O resultado do Índice de Desenvolvimento da Educação Básica (Ideb) de 2025 foi divulgado em [mês] de 2026. Este informativo apresenta os principais resultados do índice para Minas Gerais considerando as diferentes etapas da educação básica (anos iniciais e finais do ensino fundamental e ensino médio) e as diferentes redes de ensino (municipal, estadual, privada e pública). Também apresenta os resultados para as 47 superintendências regionais de ensino (SRE) do estado, coordenadorias regionais com a finalidade de supervisionar, orientar as diretrizes e políticas educacionais e de cooperar e articular com os municípios.</w:t>
      </w:r>
      <w:r>
        <w:rPr>
          <w:rStyle w:val="FootnoteReference"/>
        </w:rPr>
        <w:footnoteReference w:id="1"/>
      </w:r>
    </w:p>
    <w:p>
      <w:pPr>
        <w:spacing w:after="160" w:line="288"/>
        <w:jc w:val="both"/>
      </w:pPr>
      <w:r>
        <w:rPr>
          <w:sz w:val="21"/>
          <w:szCs w:val="21"/>
        </w:rPr>
        <w:t xml:space="preserve">Desde a última edição deste informativo, referente ao Ideb de 2019, o indicador já passou por três novos ciclos de divulgação — 2021, 2023 e 2025 —, o primeiro deles marcado pelo hiato letivo provocado pela pandemia de Covid-19. Este texto retoma a análise considerando esse período mais recente, com ênfase na comparação entre 2023 e 2025.</w:t>
      </w:r>
    </w:p>
    <w:p>
      <w:pPr>
        <w:spacing w:after="160" w:line="288"/>
        <w:jc w:val="both"/>
      </w:pPr>
      <w:r>
        <w:rPr>
          <w:sz w:val="21"/>
          <w:szCs w:val="21"/>
        </w:rPr>
        <w:t xml:space="preserve">Principal indicador de acompanhamento da qualidade da educação básica, o Ideb é importante porque avalia duas dimensões fundamentais do funcionamento do sistema educacional: o desempenho dos alunos na aprendizagem (notas em provas de português e matemática) e o rendimento escolar (taxas de aprovação dos estudantes nas séries)</w:t>
      </w:r>
      <w:r>
        <w:rPr>
          <w:rStyle w:val="FootnoteReference"/>
        </w:rPr>
        <w:footnoteReference w:id="2"/>
      </w:r>
      <w:r>
        <w:rPr>
          <w:sz w:val="21"/>
          <w:szCs w:val="21"/>
        </w:rPr>
        <w:t xml:space="preserve">. Assim, ele é composto por dois subíndices: a nota média padronizada das provas (indicador que varia de zero a dez) e o indicador de rendimento (que varia de zero a um).</w:t>
      </w:r>
    </w:p>
    <w:p>
      <w:pPr>
        <w:spacing w:after="160" w:line="288"/>
        <w:jc w:val="both"/>
      </w:pPr>
      <w:r>
        <w:rPr>
          <w:sz w:val="21"/>
          <w:szCs w:val="21"/>
        </w:rPr>
        <w:t xml:space="preserve">A melhoria no Ideb deve ser resultado do aumento desses dois subíndices, ou seja, tanto da melhora das taxas de aprovação quanto das notas dos alunos. Se a aprovação aumenta sem a contrapartida do aprendizado, a proficiência diminui, sem impacto positivo no Ideb. Já a melhora na proficiência decorrente da reprovação dos alunos com baixo aprendizado também não tem impacto no Ideb.</w:t>
      </w:r>
    </w:p>
    <w:p>
      <w:pPr>
        <w:pStyle w:val="Heading2"/>
        <w:spacing w:after="120" w:before="220"/>
      </w:pPr>
      <w:r>
        <w:rPr>
          <w:b/>
          <w:bCs/>
          <w:color w:val="C00000"/>
          <w:sz w:val="24"/>
          <w:szCs w:val="24"/>
        </w:rPr>
        <w:t xml:space="preserve">O desenvolvimento da educação em Minas Gerais</w:t>
      </w:r>
    </w:p>
    <w:p>
      <w:pPr>
        <w:spacing w:after="160" w:line="288"/>
        <w:jc w:val="both"/>
      </w:pPr>
      <w:r>
        <w:rPr>
          <w:sz w:val="21"/>
          <w:szCs w:val="21"/>
        </w:rPr>
        <w:t xml:space="preserve">O Gráfico 1 apresenta o Ideb de Minas Gerais de 2023 e 2025 para cada etapa de ensino e rede. Os valores de 2025 para o Brasil também estão dispostos no gráfico como base de comparação. Nas colunas hachuradas, temos os casos em que a meta para o ano em questão não foi alcançada. Ela foi estabelecida tendo como referência o índice médio dos países membros da Organização para a Cooperação e Desenvolvimento Econômico (OCDE) em 2003, 6,0. Assim, estipularam-se metas intermediárias para cada ano de divulgação do Ideb tendo como objetivo final atingir um Ideb igual a 6,0 em 2021 na primeira etapa do ensino fundamental, em 2025, na segunda etapa e, em 2028, no ensino médio</w:t>
      </w:r>
      <w:r>
        <w:rPr>
          <w:rStyle w:val="FootnoteReference"/>
        </w:rPr>
        <w:footnoteReference w:id="3"/>
      </w:r>
      <w:r>
        <w:rPr>
          <w:sz w:val="21"/>
          <w:szCs w:val="21"/>
        </w:rPr>
        <w:t xml:space="preserve">.</w:t>
      </w:r>
    </w:p>
    <w:p>
      <w:pPr>
        <w:pBdr>
          <w:left w:val="single" w:color="1F4E79" w:sz="24" w:space="8"/>
        </w:pBdr>
        <w:shd w:fill="EAF1F8" w:val="clear"/>
        <w:spacing w:after="40" w:before="120"/>
        <w:ind w:left="200"/>
      </w:pPr>
      <w:r>
        <w:rPr>
          <w:b/>
          <w:bCs/>
          <w:color w:val="1F4E79"/>
          <w:sz w:val="19"/>
          <w:szCs w:val="19"/>
        </w:rPr>
        <w:t xml:space="preserve">DECISÃO (da estrutura)</w:t>
      </w:r>
    </w:p>
    <w:p>
      <w:pPr>
        <w:pBdr>
          <w:left w:val="single" w:color="1F4E79" w:sz="24" w:space="8"/>
        </w:pBdr>
        <w:shd w:fill="EAF1F8" w:val="clear"/>
        <w:spacing w:after="60"/>
        <w:ind w:left="200"/>
        <w:jc w:val="both"/>
      </w:pPr>
      <w:r>
        <w:rPr>
          <w:i/>
          <w:iCs/>
          <w:sz w:val="19"/>
          <w:szCs w:val="19"/>
        </w:rPr>
        <w:t xml:space="preserve">2025 é justamente o ano-alvo da meta original dos anos finais do ensino fundamental. Vale um comentário explícito sobre se Minas Gerais bateu a SUA meta individualizada (não a nacional de 6,0). Sugestão de frase:</w:t>
      </w:r>
    </w:p>
    <w:p>
      <w:pPr>
        <w:pBdr>
          <w:left w:val="single" w:color="1F4E79" w:sz="24" w:space="8"/>
        </w:pBdr>
        <w:shd w:fill="EAF1F8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"2025 é o ano em que a meta nacional projetava alcançar um Ideb de 6,0 nos anos finais do ensino fundamental. Minas Gerais [bateu/não bateu] sua meta individualizada para o período, fixada em [valor], ao registrar um Ideb de [valor] nessa etapa."</w:t>
      </w:r>
    </w:p>
    <w:p>
      <w:pPr>
        <w:pBdr>
          <w:top w:val="dashed" w:color="999999" w:sz="6" w:space="8"/>
          <w:bottom w:val="dashed" w:color="999999" w:sz="6" w:space="8"/>
          <w:left w:val="dashed" w:color="999999" w:sz="6" w:space="8"/>
          <w:right w:val="dashed" w:color="999999" w:sz="6" w:space="8"/>
        </w:pBdr>
        <w:shd w:fill="F5F5F5" w:val="clear"/>
        <w:spacing w:after="80" w:before="160"/>
        <w:jc w:val="center"/>
      </w:pPr>
      <w:r>
        <w:rPr>
          <w:b/>
          <w:bCs/>
          <w:sz w:val="20"/>
          <w:szCs w:val="20"/>
        </w:rPr>
        <w:t xml:space="preserve">Gráfico 1 — Ideb por rede de ensino, Brasil 2025 e Minas Gerais 2023–2025</w:t>
      </w:r>
      <w:r>
        <w:rPr>
          <w:i/>
          <w:iCs/>
          <w:color w:val="595959"/>
          <w:sz w:val="18"/>
          <w:szCs w:val="18"/>
        </w:rPr>
        <w:br/>
        <w:t xml:space="preserve">Mesma leitura do gráfico de 2020: barras por etapa × rede, hachura nas que não bateram a meta.</w:t>
      </w:r>
    </w:p>
    <w:p>
      <w:pPr>
        <w:pBdr>
          <w:left w:val="single" w:color="9C4500" w:sz="24" w:space="8"/>
        </w:pBdr>
        <w:shd w:fill="FDF1E6" w:val="clear"/>
        <w:spacing w:after="40" w:before="120"/>
        <w:ind w:left="200"/>
      </w:pPr>
      <w:r>
        <w:rPr>
          <w:b/>
          <w:bCs/>
          <w:color w:val="9C4500"/>
          <w:sz w:val="19"/>
          <w:szCs w:val="19"/>
        </w:rPr>
        <w:t xml:space="preserve">🔲 DADO NECESSÁRIO</w:t>
      </w:r>
    </w:p>
    <w:p>
      <w:pPr>
        <w:pBdr>
          <w:left w:val="single" w:color="9C4500" w:sz="24" w:space="8"/>
        </w:pBdr>
        <w:shd w:fill="FDF1E6" w:val="clear"/>
        <w:spacing w:after="60"/>
        <w:ind w:left="200"/>
        <w:jc w:val="both"/>
      </w:pPr>
      <w:r>
        <w:rPr>
          <w:i/>
          <w:iCs/>
          <w:sz w:val="19"/>
          <w:szCs w:val="19"/>
        </w:rPr>
        <w:t xml:space="preserve">Parágrafo de leitura do gráfico, ~120 palavras — panorama geral: o que subiu, estagnou ou caiu entre 2023 e 2025, por etapa e rede, e como MG se compara à média nacional em 2025.</w:t>
      </w:r>
    </w:p>
    <w:p>
      <w:pPr>
        <w:pBdr>
          <w:left w:val="single" w:color="9C4500" w:sz="24" w:space="8"/>
        </w:pBdr>
        <w:shd w:fill="FDF1E6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Modelo de 2020: "De maneira geral, os dados apontam para [...]. Minas Gerais possui valores maiores/menores que a média nacional em [...], com exceção de [...]. Por fim, Minas Gerais [atingiu/não atingiu] a meta de 2025 em [...]."</w:t>
      </w:r>
    </w:p>
    <w:p>
      <w:pPr>
        <w:spacing w:after="160" w:line="288"/>
        <w:jc w:val="both"/>
      </w:pPr>
      <w:r>
        <w:rPr>
          <w:sz w:val="21"/>
          <w:szCs w:val="21"/>
        </w:rPr>
        <w:t xml:space="preserve">Desde 2007, quando o Ideb foi implantado, os anos iniciais tiveram o maior avanço histórico, tendo alcançado a meta estabelecida pelo Inep já em 2009.</w:t>
      </w:r>
    </w:p>
    <w:p>
      <w:pPr>
        <w:pBdr>
          <w:left w:val="single" w:color="9C4500" w:sz="24" w:space="8"/>
        </w:pBdr>
        <w:shd w:fill="FDF1E6" w:val="clear"/>
        <w:spacing w:after="40" w:before="120"/>
        <w:ind w:left="200"/>
      </w:pPr>
      <w:r>
        <w:rPr>
          <w:b/>
          <w:bCs/>
          <w:color w:val="9C4500"/>
          <w:sz w:val="19"/>
          <w:szCs w:val="19"/>
        </w:rPr>
        <w:t xml:space="preserve">🔲 DADO NECESSÁRIO</w:t>
      </w:r>
    </w:p>
    <w:p>
      <w:pPr>
        <w:pBdr>
          <w:left w:val="single" w:color="9C4500" w:sz="24" w:space="8"/>
        </w:pBdr>
        <w:shd w:fill="FDF1E6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Situação em 2025 — a etapa manteve, retomou ou continuou perdendo fôlego desde a queda registrada no ciclo pandêmico de 2021? (Gráficos 1 e 2).</w:t>
      </w:r>
    </w:p>
    <w:p>
      <w:pPr>
        <w:spacing w:after="20"/>
      </w:pPr>
      <w:r>
        <w:rPr>
          <w:i/>
          <w:iCs/>
          <w:color w:val="595959"/>
          <w:sz w:val="17"/>
          <w:szCs w:val="17"/>
        </w:rPr>
        <w:t xml:space="preserve">Fonte: MEC/Inep.</w:t>
      </w:r>
    </w:p>
    <w:p>
      <w:pPr>
        <w:spacing w:after="160"/>
      </w:pPr>
      <w:r>
        <w:rPr>
          <w:i/>
          <w:iCs/>
          <w:color w:val="595959"/>
          <w:sz w:val="17"/>
          <w:szCs w:val="17"/>
        </w:rPr>
        <w:t xml:space="preserve">Nota: Rede pública: considera as escolas municipais, estaduais e federais. O Inep divulga o resultado para os estados considerando apenas essas divisões de rede de ensino. As colunas hachuradas representam que a meta não foi cumprida.</w:t>
      </w:r>
    </w:p>
    <w:p>
      <w:pPr>
        <w:pStyle w:val="Heading2"/>
        <w:spacing w:after="120" w:before="220"/>
      </w:pPr>
      <w:r>
        <w:rPr>
          <w:b/>
          <w:bCs/>
          <w:color w:val="C00000"/>
          <w:sz w:val="24"/>
          <w:szCs w:val="24"/>
        </w:rPr>
        <w:t xml:space="preserve">Anos iniciais do ensino fundamental</w:t>
      </w:r>
    </w:p>
    <w:p>
      <w:pPr>
        <w:pBdr>
          <w:left w:val="single" w:color="9C4500" w:sz="24" w:space="8"/>
        </w:pBdr>
        <w:shd w:fill="FDF1E6" w:val="clear"/>
        <w:spacing w:after="40" w:before="120"/>
        <w:ind w:left="200"/>
      </w:pPr>
      <w:r>
        <w:rPr>
          <w:b/>
          <w:bCs/>
          <w:color w:val="9C4500"/>
          <w:sz w:val="19"/>
          <w:szCs w:val="19"/>
        </w:rPr>
        <w:t xml:space="preserve">🔲 DADO NECESSÁRIO</w:t>
      </w:r>
    </w:p>
    <w:p>
      <w:pPr>
        <w:pBdr>
          <w:left w:val="single" w:color="9C4500" w:sz="24" w:space="8"/>
        </w:pBdr>
        <w:shd w:fill="FDF1E6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Texto de leitura, ~140 palavras — o que mudou entre 2023 e 2025 por rede de ensino, e comparação com a meta da etapa.</w:t>
      </w:r>
    </w:p>
    <w:p>
      <w:pPr>
        <w:pBdr>
          <w:top w:val="dashed" w:color="999999" w:sz="6" w:space="8"/>
          <w:bottom w:val="dashed" w:color="999999" w:sz="6" w:space="8"/>
          <w:left w:val="dashed" w:color="999999" w:sz="6" w:space="8"/>
          <w:right w:val="dashed" w:color="999999" w:sz="6" w:space="8"/>
        </w:pBdr>
        <w:shd w:fill="F5F5F5" w:val="clear"/>
        <w:spacing w:after="80" w:before="160"/>
        <w:jc w:val="center"/>
      </w:pPr>
      <w:r>
        <w:rPr>
          <w:b/>
          <w:bCs/>
          <w:sz w:val="20"/>
          <w:szCs w:val="20"/>
        </w:rPr>
        <w:t xml:space="preserve">Gráfico 2 — Evolução do Ideb, anos iniciais do ensino fundamental, por rede — Minas Gerais, 2007–2025</w:t>
      </w:r>
      <w:r>
        <w:rPr>
          <w:i/>
          <w:iCs/>
          <w:color w:val="595959"/>
          <w:sz w:val="18"/>
          <w:szCs w:val="18"/>
        </w:rPr>
        <w:br/>
        <w:t xml:space="preserve">Mesmo gráfico de linha do original, série estendida até 2025.</w:t>
      </w:r>
    </w:p>
    <w:p>
      <w:pPr>
        <w:pBdr>
          <w:left w:val="single" w:color="1F4E79" w:sz="24" w:space="8"/>
        </w:pBdr>
        <w:shd w:fill="EAF1F8" w:val="clear"/>
        <w:spacing w:after="40" w:before="120"/>
        <w:ind w:left="200"/>
      </w:pPr>
      <w:r>
        <w:rPr>
          <w:b/>
          <w:bCs/>
          <w:color w:val="1F4E79"/>
          <w:sz w:val="19"/>
          <w:szCs w:val="19"/>
        </w:rPr>
        <w:t xml:space="preserve">NOVO (da estrutura)</w:t>
      </w:r>
    </w:p>
    <w:p>
      <w:pPr>
        <w:pBdr>
          <w:left w:val="single" w:color="1F4E79" w:sz="24" w:space="8"/>
        </w:pBdr>
        <w:shd w:fill="EAF1F8" w:val="clear"/>
        <w:spacing w:after="60"/>
        <w:ind w:left="200"/>
        <w:jc w:val="both"/>
      </w:pPr>
      <w:r>
        <w:rPr>
          <w:i/>
          <w:iCs/>
          <w:sz w:val="19"/>
          <w:szCs w:val="19"/>
        </w:rPr>
        <w:t xml:space="preserve">Marcar 2021 visualmente na série — ponto diferenciado ou nota no próprio gráfico — porque é o ciclo pós-pandemia e explica uma eventual queda que não existia na versão de 2020.</w:t>
      </w:r>
    </w:p>
    <w:p>
      <w:pPr>
        <w:pBdr>
          <w:left w:val="single" w:color="1F4E79" w:sz="24" w:space="8"/>
        </w:pBdr>
        <w:shd w:fill="EAF1F8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Sugestão de nota: "O resultado de 2021 reflete o período de suspensão das aulas presenciais em razão da pandemia de Covid-19."</w:t>
      </w:r>
    </w:p>
    <w:p>
      <w:pPr>
        <w:spacing w:after="160"/>
      </w:pPr>
      <w:r>
        <w:rPr>
          <w:i/>
          <w:iCs/>
          <w:color w:val="595959"/>
          <w:sz w:val="17"/>
          <w:szCs w:val="17"/>
        </w:rPr>
        <w:t xml:space="preserve">Fonte: MEC/Inep.</w:t>
      </w:r>
    </w:p>
    <w:p>
      <w:pPr>
        <w:pStyle w:val="Heading2"/>
        <w:spacing w:after="120" w:before="220"/>
      </w:pPr>
      <w:r>
        <w:rPr>
          <w:b/>
          <w:bCs/>
          <w:color w:val="C00000"/>
          <w:sz w:val="24"/>
          <w:szCs w:val="24"/>
        </w:rPr>
        <w:t xml:space="preserve">Anos finais do ensino fundamental e ensino médio</w:t>
      </w:r>
    </w:p>
    <w:p>
      <w:pPr>
        <w:pBdr>
          <w:top w:val="dashed" w:color="999999" w:sz="6" w:space="8"/>
          <w:bottom w:val="dashed" w:color="999999" w:sz="6" w:space="8"/>
          <w:left w:val="dashed" w:color="999999" w:sz="6" w:space="8"/>
          <w:right w:val="dashed" w:color="999999" w:sz="6" w:space="8"/>
        </w:pBdr>
        <w:shd w:fill="F5F5F5" w:val="clear"/>
        <w:spacing w:after="80" w:before="160"/>
        <w:jc w:val="center"/>
      </w:pPr>
      <w:r>
        <w:rPr>
          <w:b/>
          <w:bCs/>
          <w:sz w:val="20"/>
          <w:szCs w:val="20"/>
        </w:rPr>
        <w:t xml:space="preserve">Gráfico 3 — Evolução do Ideb, anos finais do ensino fundamental — Minas Gerais, 2007–2025</w:t>
      </w:r>
      <w:r>
        <w:rPr>
          <w:i/>
          <w:iCs/>
          <w:color w:val="595959"/>
          <w:sz w:val="18"/>
          <w:szCs w:val="18"/>
        </w:rPr>
        <w:br/>
        <w:t xml:space="preserve">Mesmo gráfico de linha do original, série estendida até 2025.</w:t>
      </w:r>
    </w:p>
    <w:p>
      <w:pPr>
        <w:pBdr>
          <w:top w:val="dashed" w:color="999999" w:sz="6" w:space="8"/>
          <w:bottom w:val="dashed" w:color="999999" w:sz="6" w:space="8"/>
          <w:left w:val="dashed" w:color="999999" w:sz="6" w:space="8"/>
          <w:right w:val="dashed" w:color="999999" w:sz="6" w:space="8"/>
        </w:pBdr>
        <w:shd w:fill="F5F5F5" w:val="clear"/>
        <w:spacing w:after="80" w:before="160"/>
        <w:jc w:val="center"/>
      </w:pPr>
      <w:r>
        <w:rPr>
          <w:b/>
          <w:bCs/>
          <w:sz w:val="20"/>
          <w:szCs w:val="20"/>
        </w:rPr>
        <w:t xml:space="preserve">Gráfico 4 — Evolução do Ideb, ensino médio — Minas Gerais, 2007–2025</w:t>
      </w:r>
      <w:r>
        <w:rPr>
          <w:i/>
          <w:iCs/>
          <w:color w:val="595959"/>
          <w:sz w:val="18"/>
          <w:szCs w:val="18"/>
        </w:rPr>
        <w:br/>
        <w:t xml:space="preserve">Mesmo gráfico de linha do original, série estendida até 2025.</w:t>
      </w:r>
    </w:p>
    <w:p>
      <w:pPr>
        <w:pBdr>
          <w:left w:val="single" w:color="9C4500" w:sz="24" w:space="8"/>
        </w:pBdr>
        <w:shd w:fill="FDF1E6" w:val="clear"/>
        <w:spacing w:after="40" w:before="120"/>
        <w:ind w:left="200"/>
      </w:pPr>
      <w:r>
        <w:rPr>
          <w:b/>
          <w:bCs/>
          <w:color w:val="9C4500"/>
          <w:sz w:val="19"/>
          <w:szCs w:val="19"/>
        </w:rPr>
        <w:t xml:space="preserve">🔲 DADO NECESSÁRIO</w:t>
      </w:r>
    </w:p>
    <w:p>
      <w:pPr>
        <w:pBdr>
          <w:left w:val="single" w:color="9C4500" w:sz="24" w:space="8"/>
        </w:pBdr>
        <w:shd w:fill="FDF1E6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Parágrafo curto sobre os anos finais do fundamental, ~130 palavras — evolução 2023→2025 por rede, se manteve a inversão da tendência de queda observada em 2019.</w:t>
      </w:r>
    </w:p>
    <w:p>
      <w:pPr>
        <w:pBdr>
          <w:left w:val="single" w:color="9C4500" w:sz="24" w:space="8"/>
        </w:pBdr>
        <w:shd w:fill="FDF1E6" w:val="clear"/>
        <w:spacing w:after="40" w:before="120"/>
        <w:ind w:left="200"/>
      </w:pPr>
      <w:r>
        <w:rPr>
          <w:b/>
          <w:bCs/>
          <w:color w:val="9C4500"/>
          <w:sz w:val="19"/>
          <w:szCs w:val="19"/>
        </w:rPr>
        <w:t xml:space="preserve">🔲 DADO NECESSÁRIO</w:t>
      </w:r>
    </w:p>
    <w:p>
      <w:pPr>
        <w:pBdr>
          <w:left w:val="single" w:color="9C4500" w:sz="24" w:space="8"/>
        </w:pBdr>
        <w:shd w:fill="FDF1E6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Parágrafo curto sobre o ensino médio, ~130 palavras — evolução 2023→2025 por rede.</w:t>
      </w:r>
    </w:p>
    <w:p>
      <w:pPr>
        <w:pBdr>
          <w:left w:val="single" w:color="1F4E79" w:sz="24" w:space="8"/>
        </w:pBdr>
        <w:shd w:fill="EAF1F8" w:val="clear"/>
        <w:spacing w:after="40" w:before="120"/>
        <w:ind w:left="200"/>
      </w:pPr>
      <w:r>
        <w:rPr>
          <w:b/>
          <w:bCs/>
          <w:color w:val="1F4E79"/>
          <w:sz w:val="19"/>
          <w:szCs w:val="19"/>
        </w:rPr>
        <w:t xml:space="preserve">NOVO (da estrutura)</w:t>
      </w:r>
    </w:p>
    <w:p>
      <w:pPr>
        <w:pBdr>
          <w:left w:val="single" w:color="1F4E79" w:sz="24" w:space="8"/>
        </w:pBdr>
        <w:shd w:fill="EAF1F8" w:val="clear"/>
        <w:spacing w:after="60"/>
        <w:ind w:left="200"/>
        <w:jc w:val="both"/>
      </w:pPr>
      <w:r>
        <w:rPr>
          <w:i/>
          <w:iCs/>
          <w:sz w:val="19"/>
          <w:szCs w:val="19"/>
        </w:rPr>
        <w:t xml:space="preserve">No parágrafo do ensino médio, citar o Novo Ensino Médio como pano de fundo — a reforma curricular foi implementada bem no meio do período avaliado (2022–2024).</w:t>
      </w:r>
    </w:p>
    <w:p>
      <w:pPr>
        <w:pBdr>
          <w:left w:val="single" w:color="1F4E79" w:sz="24" w:space="8"/>
        </w:pBdr>
        <w:shd w:fill="EAF1F8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Sugestão: "Vale registrar que o período avaliado (2023–2025) coincide com a implementação do Novo Ensino Médio nas redes estaduais, reforma curricular que alterou a organização da etapa a partir de 2022 e que pode ter contribuído para [efeito observado, se houver leitura clara nos dados]."</w:t>
      </w:r>
    </w:p>
    <w:p>
      <w:pPr>
        <w:spacing w:after="160"/>
      </w:pPr>
      <w:r>
        <w:rPr>
          <w:i/>
          <w:iCs/>
          <w:color w:val="595959"/>
          <w:sz w:val="17"/>
          <w:szCs w:val="17"/>
        </w:rPr>
        <w:t xml:space="preserve">Fonte: MEC/Inep (ambos os gráficos).</w:t>
      </w:r>
    </w:p>
    <w:p>
      <w:pPr>
        <w:pStyle w:val="Heading2"/>
        <w:spacing w:after="120" w:before="220"/>
      </w:pPr>
      <w:r>
        <w:rPr>
          <w:b/>
          <w:bCs/>
          <w:color w:val="C00000"/>
          <w:sz w:val="24"/>
          <w:szCs w:val="24"/>
        </w:rPr>
        <w:t xml:space="preserve">Subíndices: rendimento × desempenho</w:t>
      </w:r>
    </w:p>
    <w:p>
      <w:pPr>
        <w:spacing w:after="160" w:line="288"/>
        <w:jc w:val="both"/>
      </w:pPr>
      <w:r>
        <w:rPr>
          <w:sz w:val="21"/>
          <w:szCs w:val="21"/>
        </w:rPr>
        <w:t xml:space="preserve">Como o Ideb sintetiza os resultados de rendimento e desempenho, é importante entender o comportamento dos seus subíndices. Assim, o Gráfico 5 mostra a variação do desempenho (nota média padronizada obtida pelo Saeb) e do rendimento (média da taxa de aprovação) entre 2023 e 2025.</w:t>
      </w:r>
    </w:p>
    <w:p>
      <w:pPr>
        <w:pBdr>
          <w:top w:val="dashed" w:color="999999" w:sz="6" w:space="8"/>
          <w:bottom w:val="dashed" w:color="999999" w:sz="6" w:space="8"/>
          <w:left w:val="dashed" w:color="999999" w:sz="6" w:space="8"/>
          <w:right w:val="dashed" w:color="999999" w:sz="6" w:space="8"/>
        </w:pBdr>
        <w:shd w:fill="F5F5F5" w:val="clear"/>
        <w:spacing w:after="80" w:before="160"/>
        <w:jc w:val="center"/>
      </w:pPr>
      <w:r>
        <w:rPr>
          <w:b/>
          <w:bCs/>
          <w:sz w:val="20"/>
          <w:szCs w:val="20"/>
        </w:rPr>
        <w:t xml:space="preserve">Gráfico 5 — Variação de desempenho (Saeb) e rendimento por rede — Minas Gerais, 2023–2025</w:t>
      </w:r>
      <w:r>
        <w:rPr>
          <w:i/>
          <w:iCs/>
          <w:color w:val="595959"/>
          <w:sz w:val="18"/>
          <w:szCs w:val="18"/>
        </w:rPr>
        <w:br/>
        <w:t xml:space="preserve">Mesmo gráfico de dispersão/barras do original — só troca o período de comparação.</w:t>
      </w:r>
    </w:p>
    <w:p>
      <w:pPr>
        <w:pBdr>
          <w:left w:val="single" w:color="1F4E79" w:sz="24" w:space="8"/>
        </w:pBdr>
        <w:shd w:fill="EAF1F8" w:val="clear"/>
        <w:spacing w:after="40" w:before="120"/>
        <w:ind w:left="200"/>
      </w:pPr>
      <w:r>
        <w:rPr>
          <w:b/>
          <w:bCs/>
          <w:color w:val="1F4E79"/>
          <w:sz w:val="19"/>
          <w:szCs w:val="19"/>
        </w:rPr>
        <w:t xml:space="preserve">AJUSTE (da estrutura)</w:t>
      </w:r>
    </w:p>
    <w:p>
      <w:pPr>
        <w:pBdr>
          <w:left w:val="single" w:color="1F4E79" w:sz="24" w:space="8"/>
        </w:pBdr>
        <w:shd w:fill="EAF1F8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Só troca o período de comparação: 2017–2019 → 2023–2025. Estrutura do gráfico e do texto ficam iguais.</w:t>
      </w:r>
    </w:p>
    <w:p>
      <w:pPr>
        <w:pBdr>
          <w:left w:val="single" w:color="9C4500" w:sz="24" w:space="8"/>
        </w:pBdr>
        <w:shd w:fill="FDF1E6" w:val="clear"/>
        <w:spacing w:after="40" w:before="120"/>
        <w:ind w:left="200"/>
      </w:pPr>
      <w:r>
        <w:rPr>
          <w:b/>
          <w:bCs/>
          <w:color w:val="9C4500"/>
          <w:sz w:val="19"/>
          <w:szCs w:val="19"/>
        </w:rPr>
        <w:t xml:space="preserve">🔲 DADO NECESSÁRIO</w:t>
      </w:r>
    </w:p>
    <w:p>
      <w:pPr>
        <w:pBdr>
          <w:left w:val="single" w:color="9C4500" w:sz="24" w:space="8"/>
        </w:pBdr>
        <w:shd w:fill="FDF1E6" w:val="clear"/>
        <w:spacing w:after="60"/>
        <w:ind w:left="200"/>
        <w:jc w:val="both"/>
      </w:pPr>
      <w:r>
        <w:rPr>
          <w:i/>
          <w:iCs/>
          <w:sz w:val="19"/>
          <w:szCs w:val="19"/>
        </w:rPr>
        <w:t xml:space="preserve">Parágrafo verificando se aprovação e aprendizagem subiram juntas — sinal de melhora "genuína" — ou se alguma rede voltou a aprovar sem aprender entre 2023 e 2025.</w:t>
      </w:r>
    </w:p>
    <w:p>
      <w:pPr>
        <w:pBdr>
          <w:left w:val="single" w:color="9C4500" w:sz="24" w:space="8"/>
        </w:pBdr>
        <w:shd w:fill="FDF1E6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Modelo de 2020: "Os dados do Gráfico 5 mostram [movimentos opostos/conjuntos] das variações de rendimento e desempenho em [etapa], entre 2023 e 2025. [...] Esse é o caminho para um sistema de educação com maior desempenho."</w:t>
      </w:r>
    </w:p>
    <w:p>
      <w:pPr>
        <w:spacing w:after="20"/>
      </w:pPr>
      <w:r>
        <w:rPr>
          <w:i/>
          <w:iCs/>
          <w:color w:val="595959"/>
          <w:sz w:val="17"/>
          <w:szCs w:val="17"/>
        </w:rPr>
        <w:t xml:space="preserve">Fonte: MEC/Inep.</w:t>
      </w:r>
    </w:p>
    <w:p>
      <w:pPr>
        <w:spacing w:after="160"/>
      </w:pPr>
      <w:r>
        <w:rPr>
          <w:i/>
          <w:iCs/>
          <w:color w:val="595959"/>
          <w:sz w:val="17"/>
          <w:szCs w:val="17"/>
        </w:rPr>
        <w:t xml:space="preserve">Nota: Rede pública: considera as escolas municipais, estaduais e federais. O Inep divulga o resultado para os estados considerando apenas essas divisões de rede de ensino.</w:t>
      </w:r>
    </w:p>
    <w:p>
      <w:pPr>
        <w:pageBreakBefore/>
      </w:pPr>
    </w:p>
    <w:p>
      <w:pPr>
        <w:pStyle w:val="Heading2"/>
        <w:spacing w:after="120" w:before="220"/>
      </w:pPr>
      <w:r>
        <w:rPr>
          <w:b/>
          <w:bCs/>
          <w:color w:val="C00000"/>
          <w:sz w:val="24"/>
          <w:szCs w:val="24"/>
        </w:rPr>
        <w:t xml:space="preserve">E o desempenho da rede estadual?</w:t>
      </w:r>
    </w:p>
    <w:p>
      <w:pPr>
        <w:pBdr>
          <w:left w:val="single" w:color="9C4500" w:sz="24" w:space="8"/>
        </w:pBdr>
        <w:shd w:fill="FDF1E6" w:val="clear"/>
        <w:spacing w:after="40" w:before="120"/>
        <w:ind w:left="200"/>
      </w:pPr>
      <w:r>
        <w:rPr>
          <w:b/>
          <w:bCs/>
          <w:color w:val="9C4500"/>
          <w:sz w:val="19"/>
          <w:szCs w:val="19"/>
        </w:rPr>
        <w:t xml:space="preserve">🔲 DADO NECESSÁRIO</w:t>
      </w:r>
    </w:p>
    <w:p>
      <w:pPr>
        <w:pBdr>
          <w:left w:val="single" w:color="9C4500" w:sz="24" w:space="8"/>
        </w:pBdr>
        <w:shd w:fill="FDF1E6" w:val="clear"/>
        <w:spacing w:after="60"/>
        <w:ind w:left="200"/>
        <w:jc w:val="both"/>
      </w:pPr>
      <w:r>
        <w:rPr>
          <w:i/>
          <w:iCs/>
          <w:sz w:val="19"/>
          <w:szCs w:val="19"/>
        </w:rPr>
        <w:t xml:space="preserve">Texto de ranking nacional, ~180 palavras — posição de MG entre os estados em cada etapa, 2025 vs. 2023. Já temos dois números-âncora da estrutura combinada: Minas Gerais em 4º lugar geral no ranking dos estados; avanço de +0,7 nos anos finais do fundamental — o maior do país entre as redes estaduais.</w:t>
      </w:r>
    </w:p>
    <w:p>
      <w:pPr>
        <w:pBdr>
          <w:left w:val="single" w:color="9C4500" w:sz="24" w:space="8"/>
        </w:pBdr>
        <w:shd w:fill="FDF1E6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Esqueleto: "Na comparação da rede estadual de Minas Gerais com a dos demais estados do Brasil, o estado ocupa a 4ª posição geral no ranking do Ideb de 2025 [confirmar se é média das três etapas ou etapa específica]. Nos anos iniciais, [Ideb e posição, comparação com 2023]. Nos anos finais do ensino fundamental, Minas Gerais registrou o maior avanço do país entre as redes estaduais, com alta de 0,7 ponto frente a 2023, alcançando um Ideb de [valor] e a [posição]ª posição no ranking. No ensino médio, [Ideb, posição, comparação com 2023]."</w:t>
      </w:r>
    </w:p>
    <w:p>
      <w:pPr>
        <w:pStyle w:val="Heading2"/>
        <w:spacing w:after="120" w:before="220"/>
      </w:pPr>
      <w:r>
        <w:rPr>
          <w:b/>
          <w:bCs/>
          <w:color w:val="C00000"/>
          <w:sz w:val="24"/>
          <w:szCs w:val="24"/>
        </w:rPr>
        <w:t xml:space="preserve">Recorte regional — rede estadual</w:t>
      </w:r>
    </w:p>
    <w:p>
      <w:pPr>
        <w:pBdr>
          <w:top w:val="dashed" w:color="999999" w:sz="6" w:space="8"/>
          <w:bottom w:val="dashed" w:color="999999" w:sz="6" w:space="8"/>
          <w:left w:val="dashed" w:color="999999" w:sz="6" w:space="8"/>
          <w:right w:val="dashed" w:color="999999" w:sz="6" w:space="8"/>
        </w:pBdr>
        <w:shd w:fill="F5F5F5" w:val="clear"/>
        <w:spacing w:after="80" w:before="160"/>
        <w:jc w:val="center"/>
      </w:pPr>
      <w:r>
        <w:rPr>
          <w:b/>
          <w:bCs/>
          <w:sz w:val="20"/>
          <w:szCs w:val="20"/>
        </w:rPr>
        <w:t xml:space="preserve">Gráficos 6–8 — % de escolas estaduais por faixa de Ideb, por região — Minas Gerais, 2025</w:t>
      </w:r>
      <w:r>
        <w:rPr>
          <w:i/>
          <w:iCs/>
          <w:color w:val="595959"/>
          <w:sz w:val="18"/>
          <w:szCs w:val="18"/>
        </w:rPr>
        <w:br/>
        <w:t xml:space="preserve">Equivalentes aos Gráficos 6–8 de 2020, um por etapa.</w:t>
      </w:r>
    </w:p>
    <w:p>
      <w:pPr>
        <w:pBdr>
          <w:left w:val="single" w:color="1F4E79" w:sz="24" w:space="8"/>
        </w:pBdr>
        <w:shd w:fill="EAF1F8" w:val="clear"/>
        <w:spacing w:after="40" w:before="120"/>
        <w:ind w:left="200"/>
      </w:pPr>
      <w:r>
        <w:rPr>
          <w:b/>
          <w:bCs/>
          <w:color w:val="1F4E79"/>
          <w:sz w:val="19"/>
          <w:szCs w:val="19"/>
        </w:rPr>
        <w:t xml:space="preserve">DECISÃO (minha escolha — fácil de trocar)</w:t>
      </w:r>
    </w:p>
    <w:p>
      <w:pPr>
        <w:pBdr>
          <w:left w:val="single" w:color="1F4E79" w:sz="24" w:space="8"/>
        </w:pBdr>
        <w:shd w:fill="EAF1F8" w:val="clear"/>
        <w:spacing w:after="60"/>
        <w:ind w:left="200"/>
        <w:jc w:val="both"/>
      </w:pPr>
      <w:r>
        <w:rPr>
          <w:i/>
          <w:iCs/>
          <w:sz w:val="19"/>
          <w:szCs w:val="19"/>
        </w:rPr>
        <w:t xml:space="preserve">Optei por manter o recorte por SRE (47), igual à edição de 2020, por ser diretamente comparável à série histórica do informativo — mesmo repetindo a inconsistência de contagem que a versão antiga já tinha (regionais com pouquíssimas escolas aparecendo com percentuais extremos).</w:t>
      </w:r>
    </w:p>
    <w:p>
      <w:pPr>
        <w:pBdr>
          <w:left w:val="single" w:color="1F4E79" w:sz="24" w:space="8"/>
        </w:pBdr>
        <w:shd w:fill="EAF1F8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Se preferirem trocar para RGInt (13) — recorte do IBGE, mais enxuto, com a base já pronta (Ideb_por_RGInt) — é só avisar; a estrutura dos parágrafos se adapta com pouco esforço.</w:t>
      </w:r>
    </w:p>
    <w:p>
      <w:pPr>
        <w:pBdr>
          <w:left w:val="single" w:color="9C4500" w:sz="24" w:space="8"/>
        </w:pBdr>
        <w:shd w:fill="FDF1E6" w:val="clear"/>
        <w:spacing w:after="40" w:before="120"/>
        <w:ind w:left="200"/>
      </w:pPr>
      <w:r>
        <w:rPr>
          <w:b/>
          <w:bCs/>
          <w:color w:val="9C4500"/>
          <w:sz w:val="19"/>
          <w:szCs w:val="19"/>
        </w:rPr>
        <w:t xml:space="preserve">🔲 DADO NECESSÁRIO</w:t>
      </w:r>
    </w:p>
    <w:p>
      <w:pPr>
        <w:pBdr>
          <w:left w:val="single" w:color="9C4500" w:sz="24" w:space="8"/>
        </w:pBdr>
        <w:shd w:fill="FDF1E6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Três parágrafos (um por etapa — anos iniciais, anos finais, ensino médio), no modelo de 2020: quantas SRE têm mais de X% das escolas em determinada faixa de Ideb, quais regionais se destacam positiva e negativamente, citando o critério de N mínimo abaixo.</w:t>
      </w:r>
    </w:p>
    <w:p>
      <w:pPr>
        <w:pBdr>
          <w:left w:val="single" w:color="1F4E79" w:sz="24" w:space="8"/>
        </w:pBdr>
        <w:shd w:fill="EAF1F8" w:val="clear"/>
        <w:spacing w:after="40" w:before="120"/>
        <w:ind w:left="200"/>
      </w:pPr>
      <w:r>
        <w:rPr>
          <w:b/>
          <w:bCs/>
          <w:color w:val="1F4E79"/>
          <w:sz w:val="19"/>
          <w:szCs w:val="19"/>
        </w:rPr>
        <w:t xml:space="preserve">NOVO (da estrutura)</w:t>
      </w:r>
    </w:p>
    <w:p>
      <w:pPr>
        <w:pBdr>
          <w:left w:val="single" w:color="1F4E79" w:sz="24" w:space="8"/>
        </w:pBdr>
        <w:shd w:fill="EAF1F8" w:val="clear"/>
        <w:spacing w:after="60"/>
        <w:ind w:left="200"/>
        <w:jc w:val="both"/>
      </w:pPr>
      <w:r>
        <w:rPr>
          <w:i/>
          <w:iCs/>
          <w:sz w:val="19"/>
          <w:szCs w:val="19"/>
        </w:rPr>
        <w:t xml:space="preserve">Declarar um N mínimo de escolas por região antes de publicar qualquer ranking — em 2020, casos como "2 escolas" apareciam sem critério, distorcendo os extremos dos Gráficos 6–10.</w:t>
      </w:r>
    </w:p>
    <w:p>
      <w:pPr>
        <w:pBdr>
          <w:left w:val="single" w:color="1F4E79" w:sz="24" w:space="8"/>
        </w:pBdr>
        <w:shd w:fill="EAF1F8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Sugestão: adotar o mesmo corte que o Inep usa para publicar resultado por escola — mínimo de 10 alunos presentes e 80% de participação na avaliação. Nota metodológica sugerida: "Para evitar distorções em regionais com poucas escolas ofertando determinada etapa, os Gráficos 6 a 10 consideram apenas escolas que atendem ao critério mínimo de participação do Inep para divulgação de resultados por escola (10 alunos presentes e 80% de participação na avaliação)."</w:t>
      </w:r>
    </w:p>
    <w:p>
      <w:pPr>
        <w:spacing w:after="160"/>
      </w:pPr>
      <w:r>
        <w:rPr>
          <w:i/>
          <w:iCs/>
          <w:color w:val="595959"/>
          <w:sz w:val="17"/>
          <w:szCs w:val="17"/>
        </w:rPr>
        <w:t xml:space="preserve">Fonte: MEC/Inep (Gráficos 6, 7 e 8).</w:t>
      </w:r>
    </w:p>
    <w:p>
      <w:pPr>
        <w:pStyle w:val="Heading2"/>
        <w:spacing w:after="120" w:before="220"/>
      </w:pPr>
      <w:r>
        <w:rPr>
          <w:b/>
          <w:bCs/>
          <w:color w:val="C00000"/>
          <w:sz w:val="24"/>
          <w:szCs w:val="24"/>
        </w:rPr>
        <w:t xml:space="preserve">Recorte regional — rede municipal</w:t>
      </w:r>
    </w:p>
    <w:p>
      <w:pPr>
        <w:spacing w:after="160" w:line="288"/>
        <w:jc w:val="both"/>
      </w:pPr>
      <w:r>
        <w:rPr>
          <w:sz w:val="21"/>
          <w:szCs w:val="21"/>
        </w:rPr>
        <w:t xml:space="preserve">Nos anos iniciais do ensino fundamental, [% matrículas em escolas municipais e estaduais em 2025 — em 2019 era 59,3% municipal e 26% estadual]. Já nos anos finais do fundamental, [idem — em 2019 era 27,6% municipal e 61,1% estadual]</w:t>
      </w:r>
      <w:r>
        <w:rPr>
          <w:rStyle w:val="FootnoteReference"/>
        </w:rPr>
        <w:footnoteReference w:id="4"/>
      </w:r>
      <w:r>
        <w:rPr>
          <w:sz w:val="21"/>
          <w:szCs w:val="21"/>
        </w:rPr>
        <w:t xml:space="preserve">.</w:t>
      </w:r>
    </w:p>
    <w:p>
      <w:pPr>
        <w:pBdr>
          <w:top w:val="dashed" w:color="999999" w:sz="6" w:space="8"/>
          <w:bottom w:val="dashed" w:color="999999" w:sz="6" w:space="8"/>
          <w:left w:val="dashed" w:color="999999" w:sz="6" w:space="8"/>
          <w:right w:val="dashed" w:color="999999" w:sz="6" w:space="8"/>
        </w:pBdr>
        <w:shd w:fill="F5F5F5" w:val="clear"/>
        <w:spacing w:after="80" w:before="160"/>
        <w:jc w:val="center"/>
      </w:pPr>
      <w:r>
        <w:rPr>
          <w:b/>
          <w:bCs/>
          <w:sz w:val="20"/>
          <w:szCs w:val="20"/>
        </w:rPr>
        <w:t xml:space="preserve">Gráficos 9–10 — % de escolas municipais por faixa de Ideb, por região — Minas Gerais, 2025</w:t>
      </w:r>
      <w:r>
        <w:rPr>
          <w:i/>
          <w:iCs/>
          <w:color w:val="595959"/>
          <w:sz w:val="18"/>
          <w:szCs w:val="18"/>
        </w:rPr>
        <w:br/>
        <w:t xml:space="preserve"/>
      </w:r>
    </w:p>
    <w:p>
      <w:pPr>
        <w:pBdr>
          <w:left w:val="single" w:color="9C4500" w:sz="24" w:space="8"/>
        </w:pBdr>
        <w:shd w:fill="FDF1E6" w:val="clear"/>
        <w:spacing w:after="40" w:before="120"/>
        <w:ind w:left="200"/>
      </w:pPr>
      <w:r>
        <w:rPr>
          <w:b/>
          <w:bCs/>
          <w:color w:val="9C4500"/>
          <w:sz w:val="19"/>
          <w:szCs w:val="19"/>
        </w:rPr>
        <w:t xml:space="preserve">🔲 DADO NECESSÁRIO</w:t>
      </w:r>
    </w:p>
    <w:p>
      <w:pPr>
        <w:pBdr>
          <w:left w:val="single" w:color="9C4500" w:sz="24" w:space="8"/>
        </w:pBdr>
        <w:shd w:fill="FDF1E6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Dois parágrafos (anos iniciais e anos finais), no modelo de 2020 — regionais em destaque positivo e negativo, sempre citando o N mínimo de escolas quando o percentual vier de poucas unidades.</w:t>
      </w:r>
    </w:p>
    <w:p>
      <w:pPr>
        <w:spacing w:after="160"/>
      </w:pPr>
      <w:r>
        <w:rPr>
          <w:i/>
          <w:iCs/>
          <w:color w:val="595959"/>
          <w:sz w:val="17"/>
          <w:szCs w:val="17"/>
        </w:rPr>
        <w:t xml:space="preserve">Fonte: MEC/Inep (Gráficos 9 e 10).</w:t>
      </w:r>
    </w:p>
    <w:p>
      <w:pPr>
        <w:pStyle w:val="Heading2"/>
        <w:spacing w:after="120" w:before="220"/>
      </w:pPr>
      <w:r>
        <w:rPr>
          <w:b/>
          <w:bCs/>
          <w:color w:val="C00000"/>
          <w:sz w:val="24"/>
          <w:szCs w:val="24"/>
        </w:rPr>
        <w:t xml:space="preserve">Nível socioeconômico (Inse)</w:t>
      </w:r>
    </w:p>
    <w:p>
      <w:pPr>
        <w:spacing w:after="160" w:line="288"/>
        <w:jc w:val="both"/>
      </w:pPr>
      <w:r>
        <w:rPr>
          <w:sz w:val="21"/>
          <w:szCs w:val="21"/>
        </w:rPr>
        <w:t xml:space="preserve">O desempenho das escolas por região deve ser analisado considerando-se que as condições socioeconômicas tendem a limitar o desempenho dos sistemas educacionais. Vários estudos mostram que o contexto socioeconômico das escolas é um fator importante para os resultados educacionais</w:t>
      </w:r>
      <w:r>
        <w:rPr>
          <w:rStyle w:val="FootnoteReference"/>
        </w:rPr>
        <w:footnoteReference w:id="5"/>
      </w:r>
      <w:r>
        <w:rPr>
          <w:sz w:val="21"/>
          <w:szCs w:val="21"/>
        </w:rPr>
        <w:t xml:space="preserve">. Assim, regiões com melhor poder aquisitivo dos seus alunos tendem a ter um Ideb mais alto.</w:t>
      </w:r>
    </w:p>
    <w:p>
      <w:pPr>
        <w:pBdr>
          <w:left w:val="single" w:color="9C4500" w:sz="24" w:space="8"/>
        </w:pBdr>
        <w:shd w:fill="FDF1E6" w:val="clear"/>
        <w:spacing w:after="40" w:before="120"/>
        <w:ind w:left="200"/>
      </w:pPr>
      <w:r>
        <w:rPr>
          <w:b/>
          <w:bCs/>
          <w:color w:val="9C4500"/>
          <w:sz w:val="19"/>
          <w:szCs w:val="19"/>
        </w:rPr>
        <w:t xml:space="preserve">🔲 DADO NECESSÁRIO</w:t>
      </w:r>
    </w:p>
    <w:p>
      <w:pPr>
        <w:pBdr>
          <w:left w:val="single" w:color="9C4500" w:sz="24" w:space="8"/>
        </w:pBdr>
        <w:shd w:fill="FDF1E6" w:val="clear"/>
        <w:spacing w:after="60"/>
        <w:ind w:left="200"/>
        <w:jc w:val="both"/>
      </w:pPr>
      <w:r>
        <w:rPr>
          <w:i/>
          <w:iCs/>
          <w:sz w:val="19"/>
          <w:szCs w:val="19"/>
        </w:rPr>
        <w:t xml:space="preserve">Parágrafo cruzando Inse × Ideb por região, ~150 palavras — mesma lógica interpretativa de 2020 (regiões com Inse mais baixo tendem a ter pior Ideb), mas com o Inse atualizado.</w:t>
      </w:r>
    </w:p>
    <w:p>
      <w:pPr>
        <w:pBdr>
          <w:left w:val="single" w:color="9C4500" w:sz="24" w:space="8"/>
        </w:pBdr>
        <w:shd w:fill="FDF1E6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Modelo de 2020: "As regionais de [...], que apresentaram piores desempenhos para a rede estadual, estão entre as regionais com menor Inse. Em contrapartida, as regionais de [...], que se destacaram positivamente, possuem o Inse alto."</w:t>
      </w:r>
    </w:p>
    <w:p>
      <w:pPr>
        <w:pBdr>
          <w:left w:val="single" w:color="1F4E79" w:sz="24" w:space="8"/>
        </w:pBdr>
        <w:shd w:fill="EAF1F8" w:val="clear"/>
        <w:spacing w:after="40" w:before="120"/>
        <w:ind w:left="200"/>
      </w:pPr>
      <w:r>
        <w:rPr>
          <w:b/>
          <w:bCs/>
          <w:color w:val="1F4E79"/>
          <w:sz w:val="19"/>
          <w:szCs w:val="19"/>
        </w:rPr>
        <w:t xml:space="preserve">AJUSTE (da estrutura)</w:t>
      </w:r>
    </w:p>
    <w:p>
      <w:pPr>
        <w:pBdr>
          <w:left w:val="single" w:color="1F4E79" w:sz="24" w:space="8"/>
        </w:pBdr>
        <w:shd w:fill="EAF1F8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O Inse usado em 2020 era da edição de 2015 — já defasado na época. Nesta edição, o cruzamento usa o Inse de 2023, atualizado e já disponível por região.</w:t>
      </w:r>
    </w:p>
    <w:p>
      <w:pPr>
        <w:pBdr>
          <w:left w:val="single" w:color="9C4500" w:sz="24" w:space="8"/>
        </w:pBdr>
        <w:shd w:fill="FDF1E6" w:val="clear"/>
        <w:spacing w:after="40" w:before="120"/>
        <w:ind w:left="200"/>
      </w:pPr>
      <w:r>
        <w:rPr>
          <w:b/>
          <w:bCs/>
          <w:color w:val="9C4500"/>
          <w:sz w:val="19"/>
          <w:szCs w:val="19"/>
        </w:rPr>
        <w:t xml:space="preserve">🔲 DADO NECESSÁRIO</w:t>
      </w:r>
    </w:p>
    <w:p>
      <w:pPr>
        <w:pBdr>
          <w:left w:val="single" w:color="9C4500" w:sz="24" w:space="8"/>
        </w:pBdr>
        <w:shd w:fill="FDF1E6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Se o coeficiente de correlação Inse × % escolas acima/abaixo de determinada faixa de Ideb foi recalculado para 2025, manter a frase de fechamento nos moldes de 2020 ("positivo e significativo" / "negativo e significativo") com os novos valores em nota de rodapé.</w:t>
      </w:r>
    </w:p>
    <w:p>
      <w:pPr>
        <w:pStyle w:val="Heading2"/>
        <w:spacing w:after="120" w:before="220"/>
      </w:pPr>
      <w:r>
        <w:rPr>
          <w:b/>
          <w:bCs/>
          <w:color w:val="C00000"/>
          <w:sz w:val="24"/>
          <w:szCs w:val="24"/>
        </w:rPr>
        <w:t xml:space="preserve">O que os dados do Ideb informam</w:t>
      </w:r>
    </w:p>
    <w:p>
      <w:pPr>
        <w:pBdr>
          <w:left w:val="single" w:color="9C4500" w:sz="24" w:space="8"/>
        </w:pBdr>
        <w:shd w:fill="FDF1E6" w:val="clear"/>
        <w:spacing w:after="40" w:before="120"/>
        <w:ind w:left="200"/>
      </w:pPr>
      <w:r>
        <w:rPr>
          <w:b/>
          <w:bCs/>
          <w:color w:val="9C4500"/>
          <w:sz w:val="19"/>
          <w:szCs w:val="19"/>
        </w:rPr>
        <w:t xml:space="preserve">🔲 DADO NECESSÁRIO</w:t>
      </w:r>
    </w:p>
    <w:p>
      <w:pPr>
        <w:pBdr>
          <w:left w:val="single" w:color="9C4500" w:sz="24" w:space="8"/>
        </w:pBdr>
        <w:shd w:fill="FDF1E6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Fechamento, ~200 palavras — síntese dos principais achados: o que avançou e o que estagnou entre 2023 e 2025, diferenças entre etapas e redes, desigualdades regionais associadas ao Inse. Mesma função de síntese que o texto de 2020 cumpria.</w:t>
      </w:r>
    </w:p>
    <w:p>
      <w:pPr>
        <w:pBdr>
          <w:left w:val="single" w:color="1F4E79" w:sz="24" w:space="8"/>
        </w:pBdr>
        <w:shd w:fill="EAF1F8" w:val="clear"/>
        <w:spacing w:after="40" w:before="120"/>
        <w:ind w:left="200"/>
      </w:pPr>
      <w:r>
        <w:rPr>
          <w:b/>
          <w:bCs/>
          <w:color w:val="1F4E79"/>
          <w:sz w:val="19"/>
          <w:szCs w:val="19"/>
        </w:rPr>
        <w:t xml:space="preserve">NOVO (da estrutura)</w:t>
      </w:r>
    </w:p>
    <w:p>
      <w:pPr>
        <w:pBdr>
          <w:left w:val="single" w:color="1F4E79" w:sz="24" w:space="8"/>
        </w:pBdr>
        <w:shd w:fill="EAF1F8" w:val="clear"/>
        <w:spacing w:after="60"/>
        <w:ind w:left="200"/>
        <w:jc w:val="both"/>
      </w:pPr>
      <w:r>
        <w:rPr>
          <w:i/>
          <w:iCs/>
          <w:sz w:val="19"/>
          <w:szCs w:val="19"/>
        </w:rPr>
        <w:t xml:space="preserve">Incluir um parágrafo curto sobre os limites do Ideb como indicador — a bibliografia de 2020 já citava uma referência crítica ("Os cavalos também caem", Figueiredo et al., 2018) sem nunca discuti-la no corpo do texto. Sugestão de parágrafo:</w:t>
      </w:r>
    </w:p>
    <w:p>
      <w:pPr>
        <w:pBdr>
          <w:left w:val="single" w:color="1F4E79" w:sz="24" w:space="8"/>
        </w:pBdr>
        <w:shd w:fill="EAF1F8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"Cabe registrar que o Ideb, como todo indicador sintético, tem limites. Ao combinar rendimento e desempenho em um único número, ele pode mascarar estratégias de melhoria que não se traduzem em aprendizagem efetiva, além de ser sensível a mudanças metodológicas nas avaliações que o compõem (Figueiredo et al., 2018). Isso não invalida seu uso como referência de acompanhamento, mas recomenda cautela na leitura de variações pontuais e reforça a importância de olhar os subíndices — e não apenas o resultado final — na análise de política educacional."</w:t>
      </w:r>
    </w:p>
    <w:p>
      <w:pPr>
        <w:pStyle w:val="Heading2"/>
        <w:spacing w:after="120" w:before="220"/>
      </w:pPr>
      <w:r>
        <w:rPr>
          <w:b/>
          <w:bCs/>
          <w:color w:val="C00000"/>
          <w:sz w:val="24"/>
          <w:szCs w:val="24"/>
        </w:rPr>
        <w:t xml:space="preserve">Notas de rodapé e referências</w:t>
      </w:r>
    </w:p>
    <w:p>
      <w:pPr>
        <w:spacing w:after="160" w:line="288"/>
        <w:jc w:val="both"/>
      </w:pPr>
      <w:r>
        <w:rPr>
          <w:sz w:val="21"/>
          <w:szCs w:val="21"/>
        </w:rPr>
        <w:t xml:space="preserve">Lista numerada — mantém a maioria das referências de 2020 (metodologia do Ideb, notas técnicas do Inep, e os três estudos sobre contexto socioeconômico: Soares &amp; Pereira Xavier, 2013; Figueiredo et al., 2018; Souza, Costa &amp; Riani, 2019).</w:t>
      </w:r>
    </w:p>
    <w:p>
      <w:pPr>
        <w:pBdr>
          <w:left w:val="single" w:color="1F4E79" w:sz="24" w:space="8"/>
        </w:pBdr>
        <w:shd w:fill="EAF1F8" w:val="clear"/>
        <w:spacing w:after="40" w:before="120"/>
        <w:ind w:left="200"/>
      </w:pPr>
      <w:r>
        <w:rPr>
          <w:b/>
          <w:bCs/>
          <w:color w:val="1F4E79"/>
          <w:sz w:val="19"/>
          <w:szCs w:val="19"/>
        </w:rPr>
        <w:t xml:space="preserve">AJUSTE (da estrutura)</w:t>
      </w:r>
    </w:p>
    <w:p>
      <w:pPr>
        <w:pBdr>
          <w:left w:val="single" w:color="1F4E79" w:sz="24" w:space="8"/>
        </w:pBdr>
        <w:shd w:fill="EAF1F8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Acrescentar a Nota Informativa do Ideb 2025 (Inep) à bibliografia, e atualizar a referência da nota técnica do Inse para a edição de 2023.</w:t>
      </w:r>
    </w:p>
    <w:p>
      <w:pPr>
        <w:pStyle w:val="Heading2"/>
        <w:spacing w:after="120" w:before="220"/>
      </w:pPr>
      <w:r>
        <w:rPr>
          <w:b/>
          <w:bCs/>
          <w:color w:val="C00000"/>
          <w:sz w:val="24"/>
          <w:szCs w:val="24"/>
        </w:rPr>
        <w:t xml:space="preserve">Expediente</w:t>
      </w:r>
    </w:p>
    <w:p>
      <w:pPr>
        <w:spacing w:after="160" w:line="288"/>
        <w:jc w:val="both"/>
      </w:pPr>
      <w:r>
        <w:rPr>
          <w:sz w:val="21"/>
          <w:szCs w:val="21"/>
        </w:rPr>
        <w:t xml:space="preserve">Mantido como em 2020 (Presidência, diretorias, Assessoria de Comunicação Social).</w:t>
      </w:r>
    </w:p>
    <w:p>
      <w:pPr>
        <w:pBdr>
          <w:left w:val="single" w:color="1F4E79" w:sz="24" w:space="8"/>
        </w:pBdr>
        <w:shd w:fill="EAF1F8" w:val="clear"/>
        <w:spacing w:after="40" w:before="120"/>
        <w:ind w:left="200"/>
      </w:pPr>
      <w:r>
        <w:rPr>
          <w:b/>
          <w:bCs/>
          <w:color w:val="1F4E79"/>
          <w:sz w:val="19"/>
          <w:szCs w:val="19"/>
        </w:rPr>
        <w:t xml:space="preserve">AJUSTE (da estrutura)</w:t>
      </w:r>
    </w:p>
    <w:p>
      <w:pPr>
        <w:pBdr>
          <w:left w:val="single" w:color="1F4E79" w:sz="24" w:space="8"/>
        </w:pBdr>
        <w:shd w:fill="EAF1F8" w:val="clear"/>
        <w:spacing w:after="200"/>
        <w:ind w:left="200"/>
        <w:jc w:val="both"/>
      </w:pPr>
      <w:r>
        <w:rPr>
          <w:i/>
          <w:iCs/>
          <w:sz w:val="19"/>
          <w:szCs w:val="19"/>
        </w:rPr>
        <w:t xml:space="preserve">Confirmar se a equipe da Coordenação de Pesquisas em Políticas Públicas — elaboração e revisão — mudou desde 2020, antes de publicar os nomes.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Manter texto de 2020 sobre metodologia (Fernandes, R. Índice de Desenvolvimento da Educação Básica (Ideb). Textos para discussão, n.26, Brasília: Inep, 2007). Reconferir link.</w:t>
      </w:r>
    </w:p>
  </w:footnote>
  <w:footnote w:id="2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Manter texto de 2020 sobre metodologia de cálculo do Ideb. Reconferir link da Nota Técnica do Inep.</w:t>
      </w:r>
    </w:p>
  </w:footnote>
  <w:footnote w:id="3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Manter texto de 2020 sobre metas intermediárias do Inep. Reconferir link.</w:t>
      </w:r>
    </w:p>
  </w:footnote>
  <w:footnote w:id="4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Manter texto de 2020 sobre o escopo da análise municipal (Inep não divulga resultado municipal agregado por estado; ensino médio não é analisado por ter poucas escolas municipais ofertantes).</w:t>
      </w:r>
    </w:p>
  </w:footnote>
  <w:footnote w:id="5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Manter as três referências de 2020 (Soares &amp; Pereira Xavier, 2013; Figueiredo et al., 2018; Souza, Costa &amp; Riani, 2019) + acrescentar Nota Informativa Ideb 2025 (Inep) e atualizar nota técnica do Inse para 2023.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2026-08-25T17:18:42.746Z</dcterms:created>
  <dcterms:modified xsi:type="dcterms:W3CDTF">2026-08-25T17:18:42.746Z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