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461000" cy="29597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61000" cy="2959735"/>
                    </a:xfrm>
                    <a:prstGeom prst="rect">
                      <a:avLst/>
                    </a:prstGeom>
                  </pic:spPr>
                </pic:pic>
              </a:graphicData>
            </a:graphic>
          </wp:inline>
        </w:drawing>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barras hachuradas (rede Municipal) indicam aproximação pela média simples dos municípios de MG; o Inep não publica agregado estadual dessa rede nesta tabela. Rede pública considera as escolas municipais, estaduais e federais.</w:t>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461000" cy="41440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61000" cy="4144010"/>
                    </a:xfrm>
                    <a:prstGeom prst="rect">
                      <a:avLst/>
                    </a:prstGeom>
                  </pic:spPr>
                </pic:pic>
              </a:graphicData>
            </a:graphic>
          </wp:inline>
        </w:drawing>
      </w:r>
    </w:p>
    <w:p>
      <w:pPr>
        <w:spacing w:after="20" w:before="100"/>
      </w:pPr>
      <w:r>
        <w:rPr>
          <w:i/>
          <w:iCs/>
          <w:color w:val="595959"/>
          <w:sz w:val="19"/>
          <w:szCs w:val="19"/>
        </w:rPr>
        <w:t xml:space="preserve">Fonte: Inep/MEC.</w:t>
      </w:r>
    </w:p>
    <w:p>
      <w:pPr>
        <w:spacing w:after="160" w:before="0"/>
      </w:pPr>
      <w:r>
        <w:rPr>
          <w:i/>
          <w:iCs/>
          <w:color w:val="595959"/>
          <w:sz w:val="19"/>
          <w:szCs w:val="19"/>
        </w:rPr>
        <w:t xml:space="preserve">Nota: linha tracejada (Municipal) é aproximação pela média simples dos municípios de MG; o Inep não publica agregado estadual dessa rede nesta série.</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461000" cy="41440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61000" cy="4144010"/>
                    </a:xfrm>
                    <a:prstGeom prst="rect">
                      <a:avLst/>
                    </a:prstGeom>
                  </pic:spPr>
                </pic:pic>
              </a:graphicData>
            </a:graphic>
          </wp:inline>
        </w:drawing>
      </w:r>
    </w:p>
    <w:p>
      <w:pPr>
        <w:spacing w:after="80" w:before="120"/>
        <w:jc w:val="center"/>
      </w:pPr>
      <w:r>
        <w:drawing>
          <wp:inline distT="0" distB="0" distL="0" distR="0">
            <wp:extent cx="5461000" cy="40589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61000" cy="4058920"/>
                    </a:xfrm>
                    <a:prstGeom prst="rect">
                      <a:avLst/>
                    </a:prstGeom>
                  </pic:spPr>
                </pic:pic>
              </a:graphicData>
            </a:graphic>
          </wp:inline>
        </w:drawing>
      </w:r>
    </w:p>
    <w:p>
      <w:pPr>
        <w:spacing w:after="20" w:before="100"/>
      </w:pPr>
      <w:r>
        <w:rPr>
          <w:i/>
          <w:iCs/>
          <w:color w:val="595959"/>
          <w:sz w:val="19"/>
          <w:szCs w:val="19"/>
        </w:rPr>
        <w:t xml:space="preserve">Fonte: Inep/MEC (Gráficos 3 e 4).</w:t>
      </w:r>
    </w:p>
    <w:p>
      <w:pPr>
        <w:spacing w:after="160" w:before="0"/>
      </w:pPr>
      <w:r>
        <w:rPr>
          <w:i/>
          <w:iCs/>
          <w:color w:val="595959"/>
          <w:sz w:val="19"/>
          <w:szCs w:val="19"/>
        </w:rPr>
        <w:t xml:space="preserve">Nota: no Gráfico 3, linha tracejada (Municipal) é aproximação pela média simples dos municípios de MG; o Inep não publica agregado estadual dessa rede nesta série. O Gráfico 4 não inclui a rede municipal por ter poucas escolas ofertantes do ensino médio.</w:t>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percentual do desempenho (nota média padronizada obtida pelo Saeb) e do rendimento (indicador de aprovação) entre 2023 e 2025, em cada rede de ensino.</w:t>
      </w:r>
    </w:p>
    <w:p>
      <w:pPr>
        <w:spacing w:after="80" w:before="120"/>
        <w:jc w:val="center"/>
      </w:pPr>
      <w:r>
        <w:drawing>
          <wp:inline distT="0" distB="0" distL="0" distR="0">
            <wp:extent cx="5461000" cy="2294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61000" cy="2294255"/>
                    </a:xfrm>
                    <a:prstGeom prst="rect">
                      <a:avLst/>
                    </a:prstGeom>
                  </pic:spPr>
                </pic:pic>
              </a:graphicData>
            </a:graphic>
          </wp:inline>
        </w:drawing>
      </w:r>
    </w:p>
    <w:p>
      <w:pPr>
        <w:spacing w:after="20" w:before="100"/>
      </w:pPr>
      <w:r>
        <w:rPr>
          <w:i/>
          <w:iCs/>
          <w:color w:val="595959"/>
          <w:sz w:val="19"/>
          <w:szCs w:val="19"/>
        </w:rPr>
        <w:t xml:space="preserve">Fonte: Inep/MEC.</w:t>
      </w:r>
    </w:p>
    <w:p>
      <w:pPr>
        <w:spacing w:after="160" w:before="0"/>
      </w:pPr>
      <w:r>
        <w:rPr>
          <w:i/>
          <w:iCs/>
          <w:color w:val="595959"/>
          <w:sz w:val="19"/>
          <w:szCs w:val="19"/>
        </w:rPr>
        <w:t xml:space="preserve">Nota: barras hachuradas (rede Municipal) indicam aproximação pela média simples dos municípios de MG. Δ% Desempenho e Δ% Rendimento são variações percentuais relativas (não pontos percentuais), calculadas como (valor 2025 − valor 2023) / valor 2023 × 100.</w:t>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ficou estável nos anos iniciais e subiu nos anos finais e no ensino médio, entre 0,3% e 14,0%, mas cujo desempenho no Saeb caiu nas três etapas. Ou seja, a rede privada aprovou mais alunos sem que isso viesse acompanhado, em média, de mais aprendizagem, movimento inverso ao observado nas redes públicas.</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80" w:before="120"/>
        <w:jc w:val="center"/>
      </w:pPr>
      <w:r>
        <w:drawing>
          <wp:inline distT="0" distB="0" distL="0" distR="0">
            <wp:extent cx="5461000" cy="7024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024370"/>
                    </a:xfrm>
                    <a:prstGeom prst="rect">
                      <a:avLst/>
                    </a:prstGeom>
                  </pic:spPr>
                </pic:pic>
              </a:graphicData>
            </a:graphic>
          </wp:inline>
        </w:drawing>
      </w:r>
    </w:p>
    <w:p>
      <w:pPr>
        <w:spacing w:after="20" w:before="100"/>
      </w:pPr>
      <w:r>
        <w:rPr>
          <w:i/>
          <w:iCs/>
          <w:color w:val="595959"/>
          <w:sz w:val="19"/>
          <w:szCs w:val="19"/>
        </w:rPr>
        <w:t xml:space="preserve">Fonte: Inep/MEC, divulgação Ideb 2025 por UF (ranking calculado sobre as 27 unidades da federação).</w:t>
      </w:r>
    </w:p>
    <w:p>
      <w:pPr>
        <w:spacing w:after="160" w:before="0"/>
      </w:pPr>
      <w:r>
        <w:rPr>
          <w:i/>
          <w:iCs/>
          <w:color w:val="595959"/>
          <w:sz w:val="19"/>
          <w:szCs w:val="19"/>
        </w:rPr>
        <w:t xml:space="preserve">Nota: UF ordenadas pela média do Ideb nas três etapas; Brasil no topo, fora do ranking das 27 UF. MG, SP, RJ, ES e o estado com maior Ideb no ensino médio (PR) em destaque.</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67386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6738620"/>
                    </a:xfrm>
                    <a:prstGeom prst="rect">
                      <a:avLst/>
                    </a:prstGeom>
                  </pic:spPr>
                </pic:pic>
              </a:graphicData>
            </a:graphic>
          </wp:inline>
        </w:drawing>
      </w:r>
    </w:p>
    <w:p>
      <w:pPr>
        <w:spacing w:after="80" w:before="120"/>
        <w:jc w:val="center"/>
      </w:pPr>
      <w:r>
        <w:drawing>
          <wp:inline distT="0" distB="0" distL="0" distR="0">
            <wp:extent cx="5461000" cy="7452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452360"/>
                    </a:xfrm>
                    <a:prstGeom prst="rect">
                      <a:avLst/>
                    </a:prstGeom>
                  </pic:spPr>
                </pic:pic>
              </a:graphicData>
            </a:graphic>
          </wp:inline>
        </w:drawing>
      </w:r>
    </w:p>
    <w:p>
      <w:pPr>
        <w:spacing w:after="80" w:before="120"/>
        <w:jc w:val="center"/>
      </w:pPr>
      <w:r>
        <w:drawing>
          <wp:inline distT="0" distB="0" distL="0" distR="0">
            <wp:extent cx="5461000" cy="74479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447915"/>
                    </a:xfrm>
                    <a:prstGeom prst="rect">
                      <a:avLst/>
                    </a:prstGeom>
                  </pic:spPr>
                </pic:pic>
              </a:graphicData>
            </a:graphic>
          </wp:inline>
        </w:drawing>
      </w:r>
    </w:p>
    <w:p>
      <w:pPr>
        <w:spacing w:after="20" w:before="100"/>
      </w:pPr>
      <w:r>
        <w:rPr>
          <w:i/>
          <w:iCs/>
          <w:color w:val="595959"/>
          <w:sz w:val="19"/>
          <w:szCs w:val="19"/>
        </w:rPr>
        <w:t xml:space="preserve">Fonte: Inep/MEC (Gráficos 7, 8 e 9).</w:t>
      </w:r>
    </w:p>
    <w:p>
      <w:pPr>
        <w:spacing w:after="160" w:before="0"/>
      </w:pPr>
      <w:r>
        <w:rPr>
          <w:i/>
          <w:iCs/>
          <w:color w:val="595959"/>
          <w:sz w:val="19"/>
          <w:szCs w:val="19"/>
        </w:rPr>
        <w:t xml:space="preserve">Nota: SRE com menos de 3 escolas naquela rede/etapa foram omitidas, para evitar percentuais de "tudo ou nada" sem significado (afetou Campo Belo, Curvelo, Itajubá, Metropolitana A e Pirapora, só nos anos iniciais). Belo Horizonte foi reclassificada de "Metropolitana", rótulo genérico que vinha no cruzamento original, para SRE Metropolitana C, conforme a SEE-MG.</w:t>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3996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399655"/>
                    </a:xfrm>
                    <a:prstGeom prst="rect">
                      <a:avLst/>
                    </a:prstGeom>
                  </pic:spPr>
                </pic:pic>
              </a:graphicData>
            </a:graphic>
          </wp:inline>
        </w:drawing>
      </w:r>
    </w:p>
    <w:p>
      <w:pPr>
        <w:spacing w:after="80" w:before="120"/>
        <w:jc w:val="center"/>
      </w:pPr>
      <w:r>
        <w:drawing>
          <wp:inline distT="0" distB="0" distL="0" distR="0">
            <wp:extent cx="5461000" cy="73094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61000" cy="7309485"/>
                    </a:xfrm>
                    <a:prstGeom prst="rect">
                      <a:avLst/>
                    </a:prstGeom>
                  </pic:spPr>
                </pic:pic>
              </a:graphicData>
            </a:graphic>
          </wp:inline>
        </w:drawing>
      </w:r>
    </w:p>
    <w:p>
      <w:pPr>
        <w:spacing w:after="20" w:before="100"/>
      </w:pPr>
      <w:r>
        <w:rPr>
          <w:i/>
          <w:iCs/>
          <w:color w:val="595959"/>
          <w:sz w:val="19"/>
          <w:szCs w:val="19"/>
        </w:rPr>
        <w:t xml:space="preserve">Fonte: Inep/MEC (Gráficos 10 e 11).</w:t>
      </w:r>
    </w:p>
    <w:p>
      <w:pPr>
        <w:spacing w:after="160" w:before="0"/>
      </w:pPr>
      <w:r>
        <w:rPr>
          <w:i/>
          <w:iCs/>
          <w:color w:val="595959"/>
          <w:sz w:val="19"/>
          <w:szCs w:val="19"/>
        </w:rPr>
        <w:t xml:space="preserve">Nota: SRE com menos de 3 escolas municipais naquela etapa foram omitidas.</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80" w:before="120"/>
        <w:jc w:val="center"/>
      </w:pPr>
      <w:r>
        <w:drawing>
          <wp:inline distT="0" distB="0" distL="0" distR="0">
            <wp:extent cx="5461000" cy="32181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61000" cy="3218180"/>
                    </a:xfrm>
                    <a:prstGeom prst="rect">
                      <a:avLst/>
                    </a:prstGeom>
                  </pic:spPr>
                </pic:pic>
              </a:graphicData>
            </a:graphic>
          </wp:inline>
        </w:drawing>
      </w:r>
    </w:p>
    <w:p>
      <w:pPr>
        <w:spacing w:after="20" w:before="100"/>
      </w:pPr>
      <w:r>
        <w:rPr>
          <w:i/>
          <w:iCs/>
          <w:color w:val="595959"/>
          <w:sz w:val="19"/>
          <w:szCs w:val="19"/>
        </w:rPr>
        <w:t xml:space="preserve">Fonte: Inep/MEC (Ideb 2025) e Inep, Indicador de Nível Socioeconômico das Escolas de Educação Básica (Inse), edição 2023.</w:t>
      </w:r>
    </w:p>
    <w:p>
      <w:pPr>
        <w:spacing w:after="160" w:before="0"/>
      </w:pPr>
      <w:r>
        <w:rPr>
          <w:i/>
          <w:iCs/>
          <w:color w:val="595959"/>
          <w:sz w:val="19"/>
          <w:szCs w:val="19"/>
        </w:rPr>
        <w:t xml:space="preserve">Nota: cada ponto é uma SRE (rede estadual, N=47); linha tracejada é a reta de regressão linear.</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80" w:before="120"/>
        <w:jc w:val="center"/>
      </w:pPr>
      <w:r>
        <w:drawing>
          <wp:inline distT="0" distB="0" distL="0" distR="0">
            <wp:extent cx="5461000" cy="46716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61000" cy="4671695"/>
                    </a:xfrm>
                    <a:prstGeom prst="rect">
                      <a:avLst/>
                    </a:prstGeom>
                  </pic:spPr>
                </pic:pic>
              </a:graphicData>
            </a:graphic>
          </wp:inline>
        </w:drawing>
      </w:r>
    </w:p>
    <w:p>
      <w:pPr>
        <w:spacing w:after="20" w:before="100"/>
      </w:pPr>
      <w:r>
        <w:rPr>
          <w:i/>
          <w:iCs/>
          <w:color w:val="595959"/>
          <w:sz w:val="19"/>
          <w:szCs w:val="19"/>
        </w:rPr>
        <w:t xml:space="preserve">Fonte: Inep/MEC, divulgação Ideb 2025 por escola.</w:t>
      </w:r>
    </w:p>
    <w:p>
      <w:pPr>
        <w:spacing w:after="160" w:before="0"/>
      </w:pPr>
      <w:r>
        <w:rPr>
          <w:i/>
          <w:iCs/>
          <w:color w:val="595959"/>
          <w:sz w:val="19"/>
          <w:szCs w:val="19"/>
        </w:rPr>
        <w:t xml:space="preserve">Nota: linha tracejada é o Ideb da rede estadual de MG no ensino médio (4,5).</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bcac3ea4e5b75f4658e3e4b2c3fbad0dbaa8116.png"/><Relationship Id="rId8" Type="http://schemas.openxmlformats.org/officeDocument/2006/relationships/image" Target="media/85e4c45b167e827bc0f398df4080bf8ddac68ca3.png"/><Relationship Id="rId9" Type="http://schemas.openxmlformats.org/officeDocument/2006/relationships/image" Target="media/cb534f647b98bb434b55547d465e99c72a32fdc8.png"/><Relationship Id="rId10" Type="http://schemas.openxmlformats.org/officeDocument/2006/relationships/image" Target="media/d6721851bd984a0dad145aba2707b2967e0e7813.png"/><Relationship Id="rId11" Type="http://schemas.openxmlformats.org/officeDocument/2006/relationships/image" Target="media/cf1c86898b2cf3a3a4f2b9be8dae7b794d7cf7e2.png"/><Relationship Id="rId12" Type="http://schemas.openxmlformats.org/officeDocument/2006/relationships/image" Target="media/6b796ce7a3e5281224df8bef332fb4a5eeb80f54.png"/><Relationship Id="rId13" Type="http://schemas.openxmlformats.org/officeDocument/2006/relationships/image" Target="media/7b494410f017deda1d3582491590ec52806c4bcc.png"/><Relationship Id="rId14" Type="http://schemas.openxmlformats.org/officeDocument/2006/relationships/image" Target="media/da928041c60f66140b6203a2f3955b89b7ddf3d3.png"/><Relationship Id="rId15" Type="http://schemas.openxmlformats.org/officeDocument/2006/relationships/image" Target="media/ac041fd2b8dd64d1a22c6745447e86ca7983dcd8.png"/><Relationship Id="rId16" Type="http://schemas.openxmlformats.org/officeDocument/2006/relationships/image" Target="media/c8a53c88975d256b53c454b7a35f0f79a46f59d3.png"/><Relationship Id="rId17" Type="http://schemas.openxmlformats.org/officeDocument/2006/relationships/image" Target="media/47a3d88835686d460aa34765719e5fa2c44f86b6.png"/><Relationship Id="rId18" Type="http://schemas.openxmlformats.org/officeDocument/2006/relationships/image" Target="media/d5727b16a1ebbc5dcbdfecc466df3eed782246f6.png"/><Relationship Id="rId19" Type="http://schemas.openxmlformats.org/officeDocument/2006/relationships/image" Target="media/a08b1297c844c24711737bc2b07f2bc33c7e0fb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2026-08-28T02:05:09.654Z</dcterms:created>
  <dcterms:modified xsi:type="dcterms:W3CDTF">2026-08-28T02:05:09.665Z</dcterms:modified>
</cp:coreProperties>
</file>

<file path=docProps/custom.xml><?xml version="1.0" encoding="utf-8"?>
<Properties xmlns="http://schemas.openxmlformats.org/officeDocument/2006/custom-properties" xmlns:vt="http://schemas.openxmlformats.org/officeDocument/2006/docPropsVTypes"/>
</file>