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350"/>
        </w:tabs>
        <w:spacing w:after="40" w:lineRule="auto"/>
        <w:rPr/>
      </w:pPr>
      <w:r w:rsidDel="00000000" w:rsidR="00000000" w:rsidRPr="00000000">
        <w:rPr>
          <w:color w:val="595959"/>
          <w:sz w:val="20"/>
          <w:szCs w:val="20"/>
          <w:highlight w:val="yellow"/>
          <w:rtl w:val="0"/>
        </w:rPr>
        <w:t xml:space="preserve">v. [?] n. [?], agosto 2026</w:t>
      </w:r>
      <w:r w:rsidDel="00000000" w:rsidR="00000000" w:rsidRPr="00000000">
        <w:rPr>
          <w:color w:val="595959"/>
          <w:sz w:val="20"/>
          <w:szCs w:val="20"/>
          <w:rtl w:val="0"/>
        </w:rPr>
        <w:tab/>
      </w:r>
      <w:r w:rsidDel="00000000" w:rsidR="00000000" w:rsidRPr="00000000">
        <w:rPr>
          <w:color w:val="595959"/>
          <w:sz w:val="20"/>
          <w:szCs w:val="20"/>
          <w:highlight w:val="yellow"/>
          <w:rtl w:val="0"/>
        </w:rPr>
        <w:t xml:space="preserve">Área Temática: Educação</w:t>
      </w:r>
      <w:r w:rsidDel="00000000" w:rsidR="00000000" w:rsidRPr="00000000">
        <w:rPr>
          <w:rtl w:val="0"/>
        </w:rPr>
      </w:r>
    </w:p>
    <w:p w:rsidR="00000000" w:rsidDel="00000000" w:rsidP="00000000" w:rsidRDefault="00000000" w:rsidRPr="00000000" w14:paraId="00000002">
      <w:pPr>
        <w:spacing w:after="300" w:before="300" w:lineRule="auto"/>
        <w:jc w:val="center"/>
        <w:rPr/>
      </w:pPr>
      <w:r w:rsidDel="00000000" w:rsidR="00000000" w:rsidRPr="00000000">
        <w:rPr>
          <w:b w:val="1"/>
          <w:bCs w:val="1"/>
          <w:color w:val="c00000"/>
          <w:sz w:val="32"/>
          <w:szCs w:val="32"/>
          <w:rtl w:val="0"/>
        </w:rPr>
        <w:t xml:space="preserve">O desempenho da educação básica em Minas Gerais (Ideb): resultados de 2025</w:t>
      </w:r>
      <w:r w:rsidDel="00000000" w:rsidR="00000000" w:rsidRPr="00000000">
        <w:rPr>
          <w:rtl w:val="0"/>
        </w:rPr>
      </w:r>
    </w:p>
    <w:p w:rsidR="00000000" w:rsidDel="00000000" w:rsidP="00000000" w:rsidRDefault="00000000" w:rsidRPr="00000000" w14:paraId="00000003">
      <w:pPr>
        <w:spacing w:after="160" w:line="288" w:lineRule="auto"/>
        <w:jc w:val="both"/>
        <w:rPr/>
      </w:pPr>
      <w:r w:rsidDel="00000000" w:rsidR="00000000" w:rsidRPr="00000000">
        <w:rPr>
          <w:rtl w:val="0"/>
        </w:rPr>
        <w:t xml:space="preserve">Este informativo resume os principais resultados do Índice de Desenvolvimento da Educação Básica (Ideb) de 2025, divulgado em agosto de 2026, para Minas Gerais, cobrindo as diferentes etapas da educação básica, como os anos iniciais e finais do ensino fundamental e o ensino médio, além de diferentes redes de ensino, incluindo municipal, estadual, privada e pública. Também apresenta dados das superintendências regionais de ensino (SRE), que têm a missão de supervisionar, orientar as diretrizes e políticas educacionais e colaborar com os municípios.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160" w:line="288" w:lineRule="auto"/>
        <w:jc w:val="both"/>
        <w:rPr/>
      </w:pPr>
      <w:r w:rsidDel="00000000" w:rsidR="00000000" w:rsidRPr="00000000">
        <w:rPr>
          <w:rtl w:val="0"/>
        </w:rPr>
        <w:t xml:space="preserve">Desde a última edição deste </w:t>
      </w:r>
      <w:r w:rsidDel="00000000" w:rsidR="00000000" w:rsidRPr="00000000">
        <w:rPr>
          <w:rtl w:val="0"/>
        </w:rPr>
        <w:t xml:space="preserve">informativo</w:t>
      </w:r>
      <w:r w:rsidDel="00000000" w:rsidR="00000000" w:rsidRPr="00000000">
        <w:rPr>
          <w:vertAlign w:val="superscript"/>
        </w:rPr>
        <w:footnoteReference w:customMarkFollows="0" w:id="1"/>
      </w:r>
      <w:r w:rsidDel="00000000" w:rsidR="00000000" w:rsidRPr="00000000">
        <w:rPr>
          <w:rtl w:val="0"/>
        </w:rPr>
        <w:t xml:space="preserve">,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rsidR="00000000" w:rsidDel="00000000" w:rsidP="00000000" w:rsidRDefault="00000000" w:rsidRPr="00000000" w14:paraId="00000005">
      <w:pPr>
        <w:spacing w:after="160" w:line="288" w:lineRule="auto"/>
        <w:jc w:val="both"/>
        <w:rPr/>
      </w:pPr>
      <w:r w:rsidDel="00000000" w:rsidR="00000000" w:rsidRPr="00000000">
        <w:rPr>
          <w:rtl w:val="0"/>
        </w:rPr>
        <w:t xml:space="preserve">O Ideb é o principal indicador de acompanhamento da qualidade da educação básica. Ele é importante porque avalia duas dimensões fundamentais do funcionamento do sistema educacional, o desempenho dos alunos na aprendizagem, medido pelas notas em provas de língua portuguesa e matemática, e o rendimento escolar, medido pelas taxas de aprovação dos estudantes nas séries</w:t>
      </w:r>
      <w:r w:rsidDel="00000000" w:rsidR="00000000" w:rsidRPr="00000000">
        <w:rPr>
          <w:vertAlign w:val="superscript"/>
        </w:rPr>
        <w:footnoteReference w:customMarkFollows="0" w:id="2"/>
      </w:r>
      <w:r w:rsidDel="00000000" w:rsidR="00000000" w:rsidRPr="00000000">
        <w:rPr>
          <w:rtl w:val="0"/>
        </w:rPr>
        <w:t xml:space="preserve">. Assim, ele é composto por dois subíndices, a nota média padronizada das provas, indicador que varia de zero a dez, e o indicador de rendimento, que varia de zero a um.</w:t>
      </w:r>
    </w:p>
    <w:p w:rsidR="00000000" w:rsidDel="00000000" w:rsidP="00000000" w:rsidRDefault="00000000" w:rsidRPr="00000000" w14:paraId="00000006">
      <w:pPr>
        <w:spacing w:after="160" w:line="288" w:lineRule="auto"/>
        <w:jc w:val="both"/>
        <w:rPr/>
      </w:pPr>
      <w:r w:rsidDel="00000000" w:rsidR="00000000" w:rsidRPr="00000000">
        <w:rPr>
          <w:rtl w:val="0"/>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rsidR="00000000" w:rsidDel="00000000" w:rsidP="00000000" w:rsidRDefault="00000000" w:rsidRPr="00000000" w14:paraId="00000007">
      <w:pPr>
        <w:pStyle w:val="Heading2"/>
        <w:spacing w:after="120" w:before="220" w:lineRule="auto"/>
        <w:rPr/>
      </w:pPr>
      <w:r w:rsidDel="00000000" w:rsidR="00000000" w:rsidRPr="00000000">
        <w:rPr>
          <w:b w:val="1"/>
          <w:bCs w:val="1"/>
          <w:color w:val="c00000"/>
          <w:sz w:val="24"/>
          <w:szCs w:val="24"/>
          <w:rtl w:val="0"/>
        </w:rPr>
        <w:t xml:space="preserve">O desenvolvimento da educação em Minas Gerais</w:t>
      </w:r>
      <w:r w:rsidDel="00000000" w:rsidR="00000000" w:rsidRPr="00000000">
        <w:rPr>
          <w:rtl w:val="0"/>
        </w:rPr>
      </w:r>
    </w:p>
    <w:p w:rsidR="00000000" w:rsidDel="00000000" w:rsidP="00000000" w:rsidRDefault="00000000" w:rsidRPr="00000000" w14:paraId="00000008">
      <w:pPr>
        <w:spacing w:after="160" w:line="288" w:lineRule="auto"/>
        <w:jc w:val="both"/>
        <w:rPr/>
      </w:pPr>
      <w:r w:rsidDel="00000000" w:rsidR="00000000" w:rsidRPr="00000000">
        <w:rPr>
          <w:rtl w:val="0"/>
        </w:rPr>
        <w:t xml:space="preserve">O Gráfico 1 apresenta o Ideb de Minas Gerais de 2023 e 2025 para cada etapa de ensino e rede, com os valores de 2025 para o Brasil como base de comparação. Além disso, cabe destacar a meta de longo prazo de 6,0, estabelecida com referência ao índice médio dos países da </w:t>
      </w:r>
      <w:r w:rsidDel="00000000" w:rsidR="00000000" w:rsidRPr="00000000">
        <w:rPr>
          <w:sz w:val="22"/>
          <w:szCs w:val="22"/>
          <w:rtl w:val="0"/>
        </w:rPr>
        <w:t xml:space="preserve">Organização para a Cooperação e Desenvolvimento Econômico</w:t>
      </w:r>
      <w:r w:rsidDel="00000000" w:rsidR="00000000" w:rsidRPr="00000000">
        <w:rPr>
          <w:color w:val="4d5156"/>
          <w:sz w:val="22"/>
          <w:szCs w:val="22"/>
          <w:rtl w:val="0"/>
        </w:rPr>
        <w:t xml:space="preserve"> (</w:t>
      </w:r>
      <w:r w:rsidDel="00000000" w:rsidR="00000000" w:rsidRPr="00000000">
        <w:rPr>
          <w:rtl w:val="0"/>
        </w:rPr>
        <w:t xml:space="preserve">OCDE) em 2003. O Compromisso Todos pela Educação, instituído em 2007, fixou como objetivo atingir esse patamar em 2021 na primeira etapa do ensino fundamental, em 2025 na segunda etapa e em 2028 no ensino médio</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09">
      <w:pPr>
        <w:spacing w:after="160" w:line="288" w:lineRule="auto"/>
        <w:jc w:val="both"/>
        <w:rPr/>
      </w:pPr>
      <w:r w:rsidDel="00000000" w:rsidR="00000000" w:rsidRPr="00000000">
        <w:rPr>
          <w:rtl w:val="0"/>
        </w:rPr>
        <w:t xml:space="preserve">O ano de 2025 corresponde justamente ao horizonte estabelecido para essa meta de longo prazo nos anos finais do ensino fundamental. Minas Gerais, contudo, não a alcançou. O estado registrou Ideb de 5,3 nessa etapa, tanto na rede estadual quanto na rede pública, resultado inferior aos 6,0 pontos previstos e também à meta mais recente estabelecida pelo próprio Plano Estadual de Educação para o período, de 5,5. Ainda assim, em relação a 2023, houve uma redução expressiva dessa distância. No Brasil, o cenário também permanece distante do patamar estabelecido, com Ideb de 5,1 na rede estadual para os anos finais do ensino fundamental em 2025.</w:t>
      </w:r>
    </w:p>
    <w:p w:rsidR="00000000" w:rsidDel="00000000" w:rsidP="00000000" w:rsidRDefault="00000000" w:rsidRPr="00000000" w14:paraId="0000000A">
      <w:pPr>
        <w:spacing w:after="80" w:before="120" w:lineRule="auto"/>
        <w:jc w:val="center"/>
        <w:rPr/>
      </w:pPr>
      <w:r w:rsidDel="00000000" w:rsidR="00000000" w:rsidRPr="00000000">
        <w:rPr/>
        <w:drawing>
          <wp:inline distB="114300" distT="114300" distL="114300" distR="114300">
            <wp:extent cx="6163000" cy="3340314"/>
            <wp:effectExtent b="0" l="0" r="0" t="0"/>
            <wp:docPr id="210246178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163000" cy="3340314"/>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160" w:lineRule="auto"/>
        <w:rPr/>
      </w:pPr>
      <w:r w:rsidDel="00000000" w:rsidR="00000000" w:rsidRPr="00000000">
        <w:rPr>
          <w:i w:val="1"/>
          <w:iCs w:val="1"/>
          <w:color w:val="595959"/>
          <w:sz w:val="17"/>
          <w:szCs w:val="17"/>
          <w:rtl w:val="0"/>
        </w:rPr>
        <w:t xml:space="preserve">Fonte: Inep/MEC, divulgação Ideb 2025 (por município e por UF).</w:t>
      </w:r>
      <w:r w:rsidDel="00000000" w:rsidR="00000000" w:rsidRPr="00000000">
        <w:rPr>
          <w:rtl w:val="0"/>
        </w:rPr>
      </w:r>
    </w:p>
    <w:p w:rsidR="00000000" w:rsidDel="00000000" w:rsidP="00000000" w:rsidRDefault="00000000" w:rsidRPr="00000000" w14:paraId="00000042">
      <w:pPr>
        <w:spacing w:after="160" w:lineRule="auto"/>
        <w:rPr/>
      </w:pPr>
      <w:r w:rsidDel="00000000" w:rsidR="00000000" w:rsidRPr="00000000">
        <w:rPr>
          <w:i w:val="1"/>
          <w:iCs w:val="1"/>
          <w:color w:val="595959"/>
          <w:sz w:val="17"/>
          <w:szCs w:val="17"/>
          <w:rtl w:val="0"/>
        </w:rPr>
        <w:t xml:space="preserve">Nota: barras hachuradas (rede Municipal) indicam aproximação pela média simples dos municípios de MG; o Inep não publica agregado estadual dessa rede nesta tabela. Rede pública considera as escolas municipais, estaduais e federais.</w:t>
      </w:r>
      <w:r w:rsidDel="00000000" w:rsidR="00000000" w:rsidRPr="00000000">
        <w:rPr>
          <w:rtl w:val="0"/>
        </w:rPr>
      </w:r>
    </w:p>
    <w:p w:rsidR="00000000" w:rsidDel="00000000" w:rsidP="00000000" w:rsidRDefault="00000000" w:rsidRPr="00000000" w14:paraId="0000000B">
      <w:pPr>
        <w:spacing w:after="160" w:line="288" w:lineRule="auto"/>
        <w:jc w:val="both"/>
        <w:rPr/>
      </w:pPr>
      <w:r w:rsidDel="00000000" w:rsidR="00000000" w:rsidRPr="00000000">
        <w:rPr>
          <w:rtl w:val="0"/>
        </w:rPr>
        <w:t xml:space="preserve">De maneira geral, os resultados de 2025 apontam para avanços em todas as etapas e nas redes estadual e municipal, revertendo o cenário de estagnação observado na edição anterior do Ideb, referente aos resultados de 2019 e divulgada em 2020. </w:t>
      </w:r>
      <w:r w:rsidDel="00000000" w:rsidR="00000000" w:rsidRPr="00000000">
        <w:rPr>
          <w:rtl w:val="0"/>
        </w:rPr>
        <w:t xml:space="preserve">Chama atenção a rede privada que apresentou queda no Ideb nas duas etapas do ensino fundamental.</w:t>
      </w:r>
    </w:p>
    <w:p w:rsidR="00000000" w:rsidDel="00000000" w:rsidP="00000000" w:rsidRDefault="00000000" w:rsidRPr="00000000" w14:paraId="0000000C">
      <w:pPr>
        <w:spacing w:after="160" w:line="288" w:lineRule="auto"/>
        <w:jc w:val="both"/>
        <w:rPr/>
      </w:pPr>
      <w:r w:rsidDel="00000000" w:rsidR="00000000" w:rsidRPr="00000000">
        <w:rPr>
          <w:rtl w:val="0"/>
        </w:rPr>
        <w:t xml:space="preserve">Minas Gerais superou a média nacional em todas as etapas e redes de ensino,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rsidR="00000000" w:rsidDel="00000000" w:rsidP="00000000" w:rsidRDefault="00000000" w:rsidRPr="00000000" w14:paraId="0000000D">
      <w:pPr>
        <w:spacing w:after="160" w:line="288" w:lineRule="auto"/>
        <w:jc w:val="both"/>
        <w:rPr/>
      </w:pPr>
      <w:r w:rsidDel="00000000" w:rsidR="00000000" w:rsidRPr="00000000">
        <w:rPr>
          <w:rtl w:val="0"/>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w:t>
      </w:r>
    </w:p>
    <w:p w:rsidR="00000000" w:rsidDel="00000000" w:rsidP="00000000" w:rsidRDefault="00000000" w:rsidRPr="00000000" w14:paraId="0000000E">
      <w:pPr>
        <w:pStyle w:val="Heading2"/>
        <w:spacing w:after="120" w:before="220" w:lineRule="auto"/>
        <w:rPr/>
      </w:pPr>
      <w:r w:rsidDel="00000000" w:rsidR="00000000" w:rsidRPr="00000000">
        <w:rPr>
          <w:b w:val="1"/>
          <w:bCs w:val="1"/>
          <w:color w:val="c00000"/>
          <w:sz w:val="24"/>
          <w:szCs w:val="24"/>
          <w:rtl w:val="0"/>
        </w:rPr>
        <w:t xml:space="preserve">Anos iniciais do ensino fundamental</w:t>
      </w:r>
      <w:r w:rsidDel="00000000" w:rsidR="00000000" w:rsidRPr="00000000">
        <w:rPr>
          <w:rtl w:val="0"/>
        </w:rPr>
      </w:r>
    </w:p>
    <w:p w:rsidR="00000000" w:rsidDel="00000000" w:rsidP="00000000" w:rsidRDefault="00000000" w:rsidRPr="00000000" w14:paraId="0000000F">
      <w:pPr>
        <w:spacing w:after="160" w:line="288" w:lineRule="auto"/>
        <w:jc w:val="both"/>
        <w:rPr/>
      </w:pPr>
      <w:r w:rsidDel="00000000" w:rsidR="00000000" w:rsidRPr="00000000">
        <w:rPr>
          <w:rtl w:val="0"/>
        </w:rPr>
        <w:t xml:space="preserve">Entre 2023 e 2025, o Ideb dos anos iniciais avançou em todas as redes públicas de ensino em Minas Gerais, passando de 6,2 para 6,7 na rede estadual e de 6,1 para 6,4 na rede pública como um todo. Esses resultados representam o maior valor de toda a série histórica iniciada em 2005, superando inclusive o patamar pré-pandemia, quando o indicador </w:t>
      </w:r>
      <w:r w:rsidDel="00000000" w:rsidR="00000000" w:rsidRPr="00000000">
        <w:rPr>
          <w:rtl w:val="0"/>
        </w:rPr>
        <w:t xml:space="preserve">atingiu</w:t>
      </w:r>
      <w:r w:rsidDel="00000000" w:rsidR="00000000" w:rsidRPr="00000000">
        <w:rPr>
          <w:rtl w:val="0"/>
        </w:rPr>
        <w:t xml:space="preserve">  6,5 em 2017 e 2019. Nesse sentido, a queda observada  em 2021, em pleno contexto pandêmico, quando o Ideb estadual recuou para 6,0, </w:t>
      </w:r>
      <w:r w:rsidDel="00000000" w:rsidR="00000000" w:rsidRPr="00000000">
        <w:rPr>
          <w:rtl w:val="0"/>
        </w:rPr>
        <w:t xml:space="preserve">configurou-se como um retrocesso conjuntural, e não estrutural: a recuperação registrada nos anos subsequentes não apenas repôs a trajetória de crescimento interrompida, como a superou, evidenciando que os efeitos da pandemia sobre a aprendizagem nos anos iniciais foram integralmente revertidos. </w:t>
      </w:r>
      <w:r w:rsidDel="00000000" w:rsidR="00000000" w:rsidRPr="00000000">
        <w:rPr>
          <w:rtl w:val="0"/>
        </w:rPr>
        <w:t xml:space="preserve">Com relação a rede privada, </w:t>
      </w:r>
      <w:r w:rsidDel="00000000" w:rsidR="00000000" w:rsidRPr="00000000">
        <w:rPr>
          <w:rtl w:val="0"/>
        </w:rPr>
        <w:t xml:space="preserve">observou</w:t>
      </w:r>
      <w:r w:rsidDel="00000000" w:rsidR="00000000" w:rsidRPr="00000000">
        <w:rPr>
          <w:rtl w:val="0"/>
        </w:rPr>
        <w:t xml:space="preserve">-se queda entre 2023 e 2025, passando de 7,8 para 7,6. Apesar deste recuo,</w:t>
      </w:r>
      <w:r w:rsidDel="00000000" w:rsidR="00000000" w:rsidRPr="00000000">
        <w:rPr>
          <w:rtl w:val="0"/>
        </w:rPr>
        <w:t xml:space="preserve"> a rede privada apresenta um patamar bem superior quando comparada ao ensino público (Gráfico 2).</w:t>
      </w:r>
    </w:p>
    <w:p w:rsidR="00000000" w:rsidDel="00000000" w:rsidP="00000000" w:rsidRDefault="00000000" w:rsidRPr="00000000" w14:paraId="00000010">
      <w:pPr>
        <w:spacing w:after="80" w:before="120" w:lineRule="auto"/>
        <w:jc w:val="center"/>
        <w:rPr/>
      </w:pPr>
      <w:r w:rsidDel="00000000" w:rsidR="00000000" w:rsidRPr="00000000">
        <w:rPr/>
        <w:drawing>
          <wp:inline distB="114300" distT="114300" distL="114300" distR="114300">
            <wp:extent cx="6163000" cy="4676790"/>
            <wp:effectExtent b="0" l="0" r="0" t="0"/>
            <wp:docPr id="210246178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163000" cy="467679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2001">
      <w:pPr>
        <w:spacing w:after="160" w:lineRule="auto"/>
        <w:rPr/>
      </w:pPr>
      <w:r w:rsidDel="00000000" w:rsidR="00000000" w:rsidRPr="00000000">
        <w:rPr>
          <w:i w:val="1"/>
          <w:iCs w:val="1"/>
          <w:color w:val="595959"/>
          <w:sz w:val="17"/>
          <w:szCs w:val="17"/>
          <w:rtl w:val="0"/>
        </w:rPr>
        <w:t xml:space="preserve">Nota: linha tracejada (Municipal) é aproximação pela média simples dos municípios de MG; o Inep não publica agregado estadual dessa rede nesta série.</w:t>
      </w:r>
      <w:r w:rsidDel="00000000" w:rsidR="00000000" w:rsidRPr="00000000">
        <w:rPr>
          <w:rtl w:val="0"/>
        </w:rPr>
      </w:r>
    </w:p>
    <w:p w:rsidR="00000000" w:rsidDel="00000000" w:rsidP="00000000" w:rsidRDefault="00000000" w:rsidRPr="00000000" w14:paraId="00000012">
      <w:pPr>
        <w:pStyle w:val="Heading2"/>
        <w:spacing w:after="120" w:before="220" w:lineRule="auto"/>
        <w:rPr/>
      </w:pPr>
      <w:r w:rsidDel="00000000" w:rsidR="00000000" w:rsidRPr="00000000">
        <w:rPr>
          <w:b w:val="1"/>
          <w:bCs w:val="1"/>
          <w:color w:val="c00000"/>
          <w:sz w:val="24"/>
          <w:szCs w:val="24"/>
          <w:rtl w:val="0"/>
        </w:rPr>
        <w:t xml:space="preserve">Anos finais do ensino fundamental e ensino médio</w:t>
      </w:r>
      <w:r w:rsidDel="00000000" w:rsidR="00000000" w:rsidRPr="00000000">
        <w:rPr>
          <w:rtl w:val="0"/>
        </w:rPr>
      </w:r>
    </w:p>
    <w:p w:rsidR="00000000" w:rsidDel="00000000" w:rsidP="00000000" w:rsidRDefault="00000000" w:rsidRPr="00000000" w14:paraId="00000013">
      <w:pPr>
        <w:spacing w:after="80" w:before="120" w:lineRule="auto"/>
        <w:jc w:val="center"/>
        <w:rPr/>
      </w:pPr>
      <w:r w:rsidDel="00000000" w:rsidR="00000000" w:rsidRPr="00000000">
        <w:rPr/>
        <w:drawing>
          <wp:inline distB="114300" distT="114300" distL="114300" distR="114300">
            <wp:extent cx="6163000" cy="4676790"/>
            <wp:effectExtent b="0" l="0" r="0" t="0"/>
            <wp:docPr id="210246178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63000" cy="467679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2002">
      <w:pPr>
        <w:spacing w:after="160" w:lineRule="auto"/>
        <w:rPr/>
      </w:pPr>
      <w:r w:rsidDel="00000000" w:rsidR="00000000" w:rsidRPr="00000000">
        <w:rPr>
          <w:i w:val="1"/>
          <w:iCs w:val="1"/>
          <w:color w:val="595959"/>
          <w:sz w:val="17"/>
          <w:szCs w:val="17"/>
          <w:rtl w:val="0"/>
        </w:rPr>
        <w:t xml:space="preserve">Nota: linha tracejada (Municipal) é aproximação pela média simples dos municípios de MG; o Inep não publica agregado estadual dessa rede nesta série.</w:t>
      </w:r>
      <w:r w:rsidDel="00000000" w:rsidR="00000000" w:rsidRPr="00000000">
        <w:rPr>
          <w:rtl w:val="0"/>
        </w:rPr>
      </w:r>
    </w:p>
    <w:p w:rsidR="00000000" w:rsidDel="00000000" w:rsidP="00000000" w:rsidRDefault="00000000" w:rsidRPr="00000000" w14:paraId="00000015">
      <w:pPr>
        <w:spacing w:after="160" w:line="288" w:lineRule="auto"/>
        <w:jc w:val="both"/>
        <w:rPr/>
      </w:pPr>
      <w:r w:rsidDel="00000000" w:rsidR="00000000" w:rsidRPr="00000000">
        <w:rPr>
          <w:rtl w:val="0"/>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 Já a rede privada, vem apresentando queda desde 2017, passando de 7,0 em 2017 para 6,7 em 2025  </w:t>
      </w:r>
      <w:r w:rsidDel="00000000" w:rsidR="00000000" w:rsidRPr="00000000">
        <w:rPr>
          <w:rtl w:val="0"/>
        </w:rPr>
        <w:t xml:space="preserve">(Gráfico 3</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6">
      <w:pPr>
        <w:spacing w:after="80" w:before="120" w:lineRule="auto"/>
        <w:jc w:val="center"/>
        <w:rPr/>
      </w:pPr>
      <w:r w:rsidDel="00000000" w:rsidR="00000000" w:rsidRPr="00000000">
        <w:rPr/>
        <w:drawing>
          <wp:inline distB="114300" distT="114300" distL="114300" distR="114300">
            <wp:extent cx="6163000" cy="4581030"/>
            <wp:effectExtent b="0" l="0" r="0" t="0"/>
            <wp:docPr id="210246177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63000" cy="458103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18">
      <w:pPr>
        <w:spacing w:after="160" w:line="288" w:lineRule="auto"/>
        <w:jc w:val="both"/>
        <w:rPr/>
      </w:pPr>
      <w:r w:rsidDel="00000000" w:rsidR="00000000" w:rsidRPr="00000000">
        <w:rPr>
          <w:rtl w:val="0"/>
        </w:rPr>
      </w:r>
    </w:p>
    <w:p w:rsidR="00000000" w:rsidDel="00000000" w:rsidP="00000000" w:rsidRDefault="00000000" w:rsidRPr="00000000" w14:paraId="00000019">
      <w:pPr>
        <w:spacing w:after="160" w:line="288" w:lineRule="auto"/>
        <w:jc w:val="both"/>
        <w:rPr/>
      </w:pPr>
      <w:r w:rsidDel="00000000" w:rsidR="00000000" w:rsidRPr="00000000">
        <w:rPr>
          <w:rtl w:val="0"/>
        </w:rPr>
        <w:t xml:space="preserve">No ensino médio, o Ideb estadual passou de 4,0, patamar em que estava estabilizado desde 2019, para 4,5 em 2025, também recorde da série histórica. Cabe registrar que o período de  2023 e 2025 coincide com a fase de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 uma vez que outros fatores, como a própria recuperação pós-pandêmica das aprendizagens, podem estar operando simultaneamente.</w:t>
      </w:r>
    </w:p>
    <w:p w:rsidR="00000000" w:rsidDel="00000000" w:rsidP="00000000" w:rsidRDefault="00000000" w:rsidRPr="00000000" w14:paraId="0000001A">
      <w:pPr>
        <w:pStyle w:val="Heading2"/>
        <w:spacing w:after="120" w:before="220" w:lineRule="auto"/>
        <w:rPr/>
      </w:pPr>
      <w:r w:rsidDel="00000000" w:rsidR="00000000" w:rsidRPr="00000000">
        <w:rPr>
          <w:b w:val="1"/>
          <w:bCs w:val="1"/>
          <w:color w:val="c00000"/>
          <w:sz w:val="24"/>
          <w:szCs w:val="24"/>
          <w:rtl w:val="0"/>
        </w:rPr>
        <w:t xml:space="preserve">Subíndices: rendimento × desempenho</w:t>
      </w:r>
      <w:r w:rsidDel="00000000" w:rsidR="00000000" w:rsidRPr="00000000">
        <w:rPr>
          <w:rtl w:val="0"/>
        </w:rPr>
      </w:r>
    </w:p>
    <w:p w:rsidR="00000000" w:rsidDel="00000000" w:rsidP="00000000" w:rsidRDefault="00000000" w:rsidRPr="00000000" w14:paraId="0000001B">
      <w:pPr>
        <w:spacing w:after="160" w:line="288" w:lineRule="auto"/>
        <w:jc w:val="both"/>
        <w:rPr/>
      </w:pPr>
      <w:r w:rsidDel="00000000" w:rsidR="00000000" w:rsidRPr="00000000">
        <w:rPr>
          <w:rtl w:val="0"/>
        </w:rPr>
        <w:t xml:space="preserve">Como o Ideb sintetiza os resultados de rendimento e desempenho, é importante entender o comportamento dos seus subíndices. O Gráfico 5 mostra a variação percentual do desempenho (nota média padronizada obtida pelo Saeb) e do rendimento </w:t>
      </w:r>
      <w:r w:rsidDel="00000000" w:rsidR="00000000" w:rsidRPr="00000000">
        <w:rPr>
          <w:rtl w:val="0"/>
        </w:rPr>
        <w:t xml:space="preserve">(indicador de aprovação)</w:t>
      </w:r>
      <w:r w:rsidDel="00000000" w:rsidR="00000000" w:rsidRPr="00000000">
        <w:rPr>
          <w:rtl w:val="0"/>
        </w:rPr>
        <w:t xml:space="preserve"> entre 2023 e 2025.</w:t>
      </w:r>
    </w:p>
    <w:p w:rsidR="00000000" w:rsidDel="00000000" w:rsidP="00000000" w:rsidRDefault="00000000" w:rsidRPr="00000000" w14:paraId="0000001C">
      <w:pPr>
        <w:spacing w:after="80" w:before="120" w:lineRule="auto"/>
        <w:jc w:val="center"/>
        <w:rPr/>
      </w:pPr>
      <w:r w:rsidDel="00000000" w:rsidR="00000000" w:rsidRPr="00000000">
        <w:rPr/>
        <w:drawing>
          <wp:inline distB="114300" distT="114300" distL="114300" distR="114300">
            <wp:extent cx="6163000" cy="2588908"/>
            <wp:effectExtent b="0" l="0" r="0" t="0"/>
            <wp:docPr id="210246177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163000" cy="2588908"/>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43">
      <w:pPr>
        <w:spacing w:after="160" w:lineRule="auto"/>
        <w:rPr/>
      </w:pPr>
      <w:r w:rsidDel="00000000" w:rsidR="00000000" w:rsidRPr="00000000">
        <w:rPr>
          <w:i w:val="1"/>
          <w:iCs w:val="1"/>
          <w:color w:val="595959"/>
          <w:sz w:val="17"/>
          <w:szCs w:val="17"/>
          <w:rtl w:val="0"/>
        </w:rPr>
        <w:t xml:space="preserve">Nota: barras hachuradas (rede Municipal) indicam aproximação pela média simples dos municípios de MG. As variações do Gráfico 5 são percentuais relativas (não pontos percentuais), calculadas como (valor 2025 − valor 2023) / valor 2023 × 100.</w:t>
      </w:r>
      <w:r w:rsidDel="00000000" w:rsidR="00000000" w:rsidRPr="00000000">
        <w:rPr>
          <w:rtl w:val="0"/>
        </w:rPr>
      </w:r>
    </w:p>
    <w:p w:rsidR="00000000" w:rsidDel="00000000" w:rsidP="00000000" w:rsidRDefault="00000000" w:rsidRPr="00000000" w14:paraId="0000001E">
      <w:pPr>
        <w:spacing w:after="160" w:line="288" w:lineRule="auto"/>
        <w:jc w:val="both"/>
        <w:rPr/>
      </w:pPr>
      <w:r w:rsidDel="00000000" w:rsidR="00000000" w:rsidRPr="00000000">
        <w:rPr>
          <w:rtl w:val="0"/>
        </w:rPr>
        <w:t xml:space="preserve">Nas redes pública e estadual, os dois subíndices avançaram simultaneamente nas três etapas de ensino, sinalizando uma melhora mais consistente, na qual o aumento da aprovação foi acompanhado por ganhos de aprendizagem, e não simplesmente por uma elevação do rendimento. Ressalta-se que nos anos iniciais do ensino fundamental, como as taxas de aprovação são próximas de 100%, os ganhos no </w:t>
      </w:r>
      <w:r w:rsidDel="00000000" w:rsidR="00000000" w:rsidRPr="00000000">
        <w:rPr>
          <w:rtl w:val="0"/>
        </w:rPr>
        <w:t xml:space="preserve">subíndice</w:t>
      </w:r>
      <w:r w:rsidDel="00000000" w:rsidR="00000000" w:rsidRPr="00000000">
        <w:rPr>
          <w:rtl w:val="0"/>
        </w:rPr>
        <w:t xml:space="preserve"> de rendimento são marginais.  O padrão mais contrastante aparece na rede privada: </w:t>
      </w:r>
      <w:r w:rsidDel="00000000" w:rsidR="00000000" w:rsidRPr="00000000">
        <w:rPr>
          <w:rtl w:val="0"/>
        </w:rPr>
        <w:t xml:space="preserve">embora o rendimento tenha ficado estável nos anos inciais e crescido  nos anos finais do </w:t>
      </w:r>
      <w:r w:rsidDel="00000000" w:rsidR="00000000" w:rsidRPr="00000000">
        <w:rPr>
          <w:rtl w:val="0"/>
        </w:rPr>
        <w:t xml:space="preserve">ensino</w:t>
      </w:r>
      <w:r w:rsidDel="00000000" w:rsidR="00000000" w:rsidRPr="00000000">
        <w:rPr>
          <w:rtl w:val="0"/>
        </w:rPr>
        <w:t xml:space="preserve"> fundamental e no ensino médio, </w:t>
      </w:r>
      <w:r w:rsidDel="00000000" w:rsidR="00000000" w:rsidRPr="00000000">
        <w:rPr>
          <w:rtl w:val="0"/>
        </w:rPr>
        <w:t xml:space="preserve">com ganhos de 0,3% e 14,0%, respectivamente, </w:t>
      </w:r>
      <w:r w:rsidDel="00000000" w:rsidR="00000000" w:rsidRPr="00000000">
        <w:rPr>
          <w:rtl w:val="0"/>
        </w:rPr>
        <w:t xml:space="preserve"> </w:t>
      </w:r>
      <w:r w:rsidDel="00000000" w:rsidR="00000000" w:rsidRPr="00000000">
        <w:rPr>
          <w:rtl w:val="0"/>
        </w:rPr>
        <w:t xml:space="preserve">o desempenho no Saeb recuou nas </w:t>
      </w:r>
      <w:r w:rsidDel="00000000" w:rsidR="00000000" w:rsidRPr="00000000">
        <w:rPr>
          <w:rtl w:val="0"/>
        </w:rPr>
        <w:t xml:space="preserve">três</w:t>
      </w:r>
      <w:r w:rsidDel="00000000" w:rsidR="00000000" w:rsidRPr="00000000">
        <w:rPr>
          <w:rtl w:val="0"/>
        </w:rPr>
        <w:t xml:space="preserve"> etapas de ensino. </w:t>
      </w:r>
      <w:r w:rsidDel="00000000" w:rsidR="00000000" w:rsidRPr="00000000">
        <w:rPr>
          <w:rtl w:val="0"/>
        </w:rPr>
        <w:t xml:space="preserve"> Em outras palavras, a rede privada passou a aprovar mais alunos sem que esse aumento fosse acompanhado, em média, por maior aprendizagem, movimento que contrasta com o observado nas redes pública e estadual.</w:t>
      </w:r>
    </w:p>
    <w:p w:rsidR="00000000" w:rsidDel="00000000" w:rsidP="00000000" w:rsidRDefault="00000000" w:rsidRPr="00000000" w14:paraId="0000001F">
      <w:pPr>
        <w:pStyle w:val="Heading2"/>
        <w:spacing w:after="120" w:before="220" w:lineRule="auto"/>
        <w:rPr/>
      </w:pPr>
      <w:r w:rsidDel="00000000" w:rsidR="00000000" w:rsidRPr="00000000">
        <w:rPr>
          <w:b w:val="1"/>
          <w:bCs w:val="1"/>
          <w:color w:val="c00000"/>
          <w:sz w:val="24"/>
          <w:szCs w:val="24"/>
          <w:rtl w:val="0"/>
        </w:rPr>
        <w:t xml:space="preserve">E o desempenho da rede estadual?</w:t>
      </w:r>
      <w:r w:rsidDel="00000000" w:rsidR="00000000" w:rsidRPr="00000000">
        <w:rPr>
          <w:rtl w:val="0"/>
        </w:rPr>
      </w:r>
    </w:p>
    <w:p w:rsidR="00000000" w:rsidDel="00000000" w:rsidP="00000000" w:rsidRDefault="00000000" w:rsidRPr="00000000" w14:paraId="00000020">
      <w:pPr>
        <w:spacing w:after="160" w:line="288" w:lineRule="auto"/>
        <w:jc w:val="both"/>
        <w:rPr/>
      </w:pPr>
      <w:r w:rsidDel="00000000" w:rsidR="00000000" w:rsidRPr="00000000">
        <w:rPr>
          <w:rtl w:val="0"/>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rsidR="00000000" w:rsidDel="00000000" w:rsidP="00000000" w:rsidRDefault="00000000" w:rsidRPr="00000000" w14:paraId="00000021">
      <w:pPr>
        <w:spacing w:after="160" w:line="288" w:lineRule="auto"/>
        <w:jc w:val="both"/>
        <w:rPr/>
      </w:pPr>
      <w:r w:rsidDel="00000000" w:rsidR="00000000" w:rsidRPr="00000000">
        <w:rPr>
          <w:rtl w:val="0"/>
        </w:rPr>
        <w:t xml:space="preserve">O avanço mais notável ocorreu na rede pública dos anos finais do fundamental. Minas Gerais saltou da 16ª para a 4ª posição entre os estados, com alta de 0,6 ponto, de 4,7 para 5,3, um dos maiores avanços do país nessa rede e etapa.</w:t>
      </w:r>
      <w:r w:rsidDel="00000000" w:rsidR="00000000" w:rsidRPr="00000000">
        <w:rPr>
          <w:rtl w:val="0"/>
        </w:rPr>
      </w:r>
    </w:p>
    <w:p w:rsidR="00000000" w:rsidDel="00000000" w:rsidP="00000000" w:rsidRDefault="00000000" w:rsidRPr="00000000" w14:paraId="00001001">
      <w:pPr>
        <w:spacing w:after="80" w:before="120" w:lineRule="auto"/>
        <w:jc w:val="center"/>
        <w:rPr/>
      </w:pPr>
      <w:r w:rsidDel="00000000" w:rsidR="00000000" w:rsidRPr="00000000">
        <w:rPr/>
        <w:drawing>
          <wp:inline distB="114300" distT="114300" distL="114300" distR="114300">
            <wp:extent cx="6163000" cy="7927658"/>
            <wp:effectExtent b="0" l="0" r="0" t="0"/>
            <wp:docPr id="310000000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6163000" cy="7927658"/>
                    </a:xfrm>
                    <a:prstGeom prst="rect"/>
                    <a:ln/>
                  </pic:spPr>
                </pic:pic>
              </a:graphicData>
            </a:graphic>
          </wp:inline>
        </w:drawing>
      </w:r>
      <w:r w:rsidDel="00000000" w:rsidR="00000000" w:rsidRPr="00000000">
        <w:rPr>
          <w:rtl w:val="0"/>
        </w:rPr>
      </w:r>
    </w:p>
    <w:p w:rsidR="00000000" w:rsidDel="00000000" w:rsidP="00000000" w:rsidRDefault="00000000" w:rsidRPr="00000000" w14:paraId="00001002">
      <w:pPr>
        <w:spacing w:after="160" w:lineRule="auto"/>
        <w:rPr/>
      </w:pPr>
      <w:r w:rsidDel="00000000" w:rsidR="00000000" w:rsidRPr="00000000">
        <w:rPr>
          <w:i w:val="1"/>
          <w:iCs w:val="1"/>
          <w:color w:val="595959"/>
          <w:sz w:val="17"/>
          <w:szCs w:val="17"/>
          <w:rtl w:val="0"/>
        </w:rPr>
        <w:t xml:space="preserve">Fonte: Inep/MEC, divulgação Ideb 2025 por UF (ranking calculado sobre as 27 unidades da federação).</w:t>
      </w:r>
      <w:r w:rsidDel="00000000" w:rsidR="00000000" w:rsidRPr="00000000">
        <w:rPr>
          <w:rtl w:val="0"/>
        </w:rPr>
      </w:r>
    </w:p>
    <w:p w:rsidR="00000000" w:rsidDel="00000000" w:rsidP="00000000" w:rsidRDefault="00000000" w:rsidRPr="00000000" w14:paraId="00001003">
      <w:pPr>
        <w:spacing w:after="160" w:lineRule="auto"/>
        <w:rPr/>
      </w:pPr>
      <w:r w:rsidDel="00000000" w:rsidR="00000000" w:rsidRPr="00000000">
        <w:rPr>
          <w:i w:val="1"/>
          <w:iCs w:val="1"/>
          <w:color w:val="595959"/>
          <w:sz w:val="17"/>
          <w:szCs w:val="17"/>
          <w:rtl w:val="0"/>
        </w:rPr>
        <w:t xml:space="preserve">Nota: UF ordenadas pela média do Ideb nas três etapas; Brasil no topo, fora do ranking das 27 UF. MG, SP, RJ, ES e o estado com maior Ideb no ensino médio (PR) em destaque.</w:t>
      </w:r>
      <w:r w:rsidDel="00000000" w:rsidR="00000000" w:rsidRPr="00000000">
        <w:rPr>
          <w:rtl w:val="0"/>
        </w:rPr>
      </w:r>
    </w:p>
    <w:p w:rsidR="00000000" w:rsidDel="00000000" w:rsidP="00000000" w:rsidRDefault="00000000" w:rsidRPr="00000000" w14:paraId="00000022">
      <w:pPr>
        <w:pStyle w:val="Heading2"/>
        <w:spacing w:after="120" w:before="220" w:lineRule="auto"/>
        <w:rPr/>
      </w:pPr>
      <w:r w:rsidDel="00000000" w:rsidR="00000000" w:rsidRPr="00000000">
        <w:rPr>
          <w:b w:val="1"/>
          <w:bCs w:val="1"/>
          <w:color w:val="c00000"/>
          <w:sz w:val="24"/>
          <w:szCs w:val="24"/>
          <w:rtl w:val="0"/>
        </w:rPr>
        <w:t xml:space="preserve">Recorte regional: rede estadual</w:t>
      </w:r>
      <w:r w:rsidDel="00000000" w:rsidR="00000000" w:rsidRPr="00000000">
        <w:rPr>
          <w:rtl w:val="0"/>
        </w:rPr>
      </w:r>
    </w:p>
    <w:p w:rsidR="00000000" w:rsidDel="00000000" w:rsidP="00000000" w:rsidRDefault="00000000" w:rsidRPr="00000000" w14:paraId="00000023">
      <w:pPr>
        <w:spacing w:after="120" w:lineRule="auto"/>
        <w:jc w:val="both"/>
        <w:rPr>
          <w:sz w:val="22"/>
          <w:szCs w:val="22"/>
        </w:rPr>
      </w:pPr>
      <w:r w:rsidDel="00000000" w:rsidR="00000000" w:rsidRPr="00000000">
        <w:rPr>
          <w:sz w:val="22"/>
          <w:szCs w:val="22"/>
          <w:rtl w:val="0"/>
        </w:rPr>
        <w:t xml:space="preserve">Os Gráficos </w:t>
      </w:r>
      <w:r w:rsidDel="00000000" w:rsidR="00000000" w:rsidRPr="00000000">
        <w:rPr>
          <w:sz w:val="22"/>
          <w:szCs w:val="22"/>
          <w:rtl w:val="0"/>
        </w:rPr>
        <w:t xml:space="preserve">7 a 9</w:t>
      </w:r>
      <w:r w:rsidDel="00000000" w:rsidR="00000000" w:rsidRPr="00000000">
        <w:rPr>
          <w:sz w:val="22"/>
          <w:szCs w:val="22"/>
          <w:rtl w:val="0"/>
        </w:rPr>
        <w:t xml:space="preserve"> mostram a porcentagem de escolas estaduais por faixa de Ideb para cada uma das 47 Superintendências Regionais de Ensino (SRE) nos anos iniciais e finais do ensino fundamental e no ensino médio respectivamente.</w:t>
      </w:r>
    </w:p>
    <w:p w:rsidR="00000000" w:rsidDel="00000000" w:rsidP="00000000" w:rsidRDefault="00000000" w:rsidRPr="00000000" w14:paraId="00000024">
      <w:pPr>
        <w:spacing w:after="80" w:before="120" w:lineRule="auto"/>
        <w:jc w:val="center"/>
        <w:rPr/>
      </w:pPr>
      <w:r w:rsidDel="00000000" w:rsidR="00000000" w:rsidRPr="00000000">
        <w:rPr>
          <w:rtl w:val="0"/>
        </w:rPr>
      </w:r>
    </w:p>
    <w:p w:rsidR="00000000" w:rsidDel="00000000" w:rsidP="00000000" w:rsidRDefault="00000000" w:rsidRPr="00000000" w14:paraId="00000026">
      <w:pPr>
        <w:spacing w:after="80" w:before="120" w:lineRule="auto"/>
        <w:jc w:val="center"/>
        <w:rPr/>
      </w:pPr>
      <w:r w:rsidDel="00000000" w:rsidR="00000000" w:rsidRPr="00000000">
        <w:drawing>
          <wp:anchor allowOverlap="1" behindDoc="0" distB="0" distT="0" distL="114300" distR="114300" hidden="0" layoutInCell="1" locked="0" relativeHeight="0" simplePos="0">
            <wp:simplePos x="0" y="0"/>
            <wp:positionH relativeFrom="column">
              <wp:posOffset>162560</wp:posOffset>
            </wp:positionH>
            <wp:positionV relativeFrom="paragraph">
              <wp:posOffset>0</wp:posOffset>
            </wp:positionV>
            <wp:extent cx="6163000" cy="7604937"/>
            <wp:effectExtent b="0" l="0" r="0" t="0"/>
            <wp:wrapTopAndBottom distB="0" distT="0"/>
            <wp:docPr id="2102461784"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163000" cy="7604937"/>
                    </a:xfrm>
                    <a:prstGeom prst="rect"/>
                    <a:ln/>
                  </pic:spPr>
                </pic:pic>
              </a:graphicData>
            </a:graphic>
          </wp:anchor>
        </w:drawing>
      </w:r>
    </w:p>
    <w:p w:rsidR="00000000" w:rsidDel="00000000" w:rsidP="00000000" w:rsidRDefault="00000000" w:rsidRPr="00000000" w14:paraId="00000027">
      <w:pPr>
        <w:spacing w:after="80" w:before="120" w:lineRule="auto"/>
        <w:jc w:val="center"/>
        <w:rPr/>
      </w:pPr>
      <w:r w:rsidDel="00000000" w:rsidR="00000000" w:rsidRPr="00000000">
        <w:rPr/>
        <w:drawing>
          <wp:inline distB="114300" distT="114300" distL="114300" distR="114300">
            <wp:extent cx="6163000" cy="8410080"/>
            <wp:effectExtent b="0" l="0" r="0" t="0"/>
            <wp:docPr id="210246178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63000" cy="841008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80" w:before="120" w:lineRule="auto"/>
        <w:jc w:val="center"/>
        <w:rPr/>
      </w:pPr>
      <w:r w:rsidDel="00000000" w:rsidR="00000000" w:rsidRPr="00000000">
        <w:rPr/>
        <w:drawing>
          <wp:inline distB="114300" distT="114300" distL="114300" distR="114300">
            <wp:extent cx="6163000" cy="8405088"/>
            <wp:effectExtent b="0" l="0" r="0" t="0"/>
            <wp:docPr id="210246178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6163000" cy="8405088"/>
                    </a:xfrm>
                    <a:prstGeom prst="rect"/>
                    <a:ln/>
                  </pic:spPr>
                </pic:pic>
              </a:graphicData>
            </a:graphic>
          </wp:inline>
        </w:drawing>
      </w:r>
      <w:r w:rsidDel="00000000" w:rsidR="00000000" w:rsidRPr="00000000">
        <w:rPr>
          <w:rtl w:val="0"/>
        </w:rPr>
      </w:r>
    </w:p>
    <w:p w:rsidR="00000000" w:rsidDel="00000000" w:rsidP="00000000" w:rsidRDefault="00000000" w:rsidRPr="00000000" w14:paraId="00001004">
      <w:pPr>
        <w:spacing w:after="160" w:lineRule="auto"/>
        <w:rPr/>
      </w:pPr>
      <w:r w:rsidDel="00000000" w:rsidR="00000000" w:rsidRPr="00000000">
        <w:rPr>
          <w:i w:val="1"/>
          <w:iCs w:val="1"/>
          <w:color w:val="595959"/>
          <w:sz w:val="17"/>
          <w:szCs w:val="17"/>
          <w:rtl w:val="0"/>
        </w:rPr>
        <w:t xml:space="preserve">Fonte: Inep/MEC (Gráficos 7, 8 e 9).</w:t>
      </w:r>
      <w:r w:rsidDel="00000000" w:rsidR="00000000" w:rsidRPr="00000000">
        <w:rPr>
          <w:rtl w:val="0"/>
        </w:rPr>
      </w:r>
    </w:p>
    <w:p w:rsidR="00000000" w:rsidDel="00000000" w:rsidP="00000000" w:rsidRDefault="00000000" w:rsidRPr="00000000" w14:paraId="00001005">
      <w:pPr>
        <w:spacing w:after="160" w:lineRule="auto"/>
        <w:rPr/>
      </w:pPr>
      <w:r w:rsidDel="00000000" w:rsidR="00000000" w:rsidRPr="00000000">
        <w:rPr>
          <w:i w:val="1"/>
          <w:iCs w:val="1"/>
          <w:color w:val="595959"/>
          <w:sz w:val="17"/>
          <w:szCs w:val="17"/>
          <w:rtl w:val="0"/>
        </w:rPr>
        <w:t xml:space="preserve">Nota: SRE com menos de 3 escolas naquela rede/etapa foram omitidas, para evitar percentuais de "tudo ou nada" sem significado (afetou Campo Belo, Curvelo, Itajubá, Metropolitana A e Pirapora, só nos anos iniciais). Belo Horizonte foi reclassificada de "Metropolitana", rótulo genérico que vinha no cruzamento original, para SRE Metropolitana C, conforme a SEE-MG.</w:t>
      </w:r>
      <w:r w:rsidDel="00000000" w:rsidR="00000000" w:rsidRPr="00000000">
        <w:rPr>
          <w:rtl w:val="0"/>
        </w:rPr>
      </w:r>
    </w:p>
    <w:p w:rsidR="00000000" w:rsidDel="00000000" w:rsidP="00000000" w:rsidRDefault="00000000" w:rsidRPr="00000000" w14:paraId="00000029">
      <w:pPr>
        <w:spacing w:after="160" w:line="288" w:lineRule="auto"/>
        <w:jc w:val="both"/>
        <w:rPr/>
      </w:pPr>
      <w:r w:rsidDel="00000000" w:rsidR="00000000" w:rsidRPr="00000000">
        <w:rPr>
          <w:rtl w:val="0"/>
        </w:rPr>
        <w:t xml:space="preserve">Nos anos iniciais, o quadro regional é bastante positivo. </w:t>
      </w:r>
      <w:r w:rsidDel="00000000" w:rsidR="00000000" w:rsidRPr="00000000">
        <w:rPr>
          <w:rtl w:val="0"/>
        </w:rPr>
        <w:t xml:space="preserve">Em 34 das 47 SREs analisadas</w:t>
      </w:r>
      <w:r w:rsidDel="00000000" w:rsidR="00000000" w:rsidRPr="00000000">
        <w:rPr>
          <w:rtl w:val="0"/>
        </w:rPr>
        <w:t xml:space="preserve">, mais de 90% das escolas estaduais têm Ideb igual ou acima de 6, e em 12 delas todas as escolas atingem essa faixa. As SRE de Januária, Almenara e Carangola apresentam os menores percentuais nessa faixa, entre 48% e 50%, ainda assim a maioria das escolas (Gráfico </w:t>
      </w:r>
      <w:r w:rsidDel="00000000" w:rsidR="00000000" w:rsidRPr="00000000">
        <w:rPr>
          <w:rtl w:val="0"/>
        </w:rPr>
        <w:t xml:space="preserve">7</w:t>
      </w:r>
      <w:r w:rsidDel="00000000" w:rsidR="00000000" w:rsidRPr="00000000">
        <w:rPr>
          <w:rtl w:val="0"/>
        </w:rPr>
        <w:t xml:space="preserve">).</w:t>
      </w:r>
    </w:p>
    <w:p w:rsidR="00000000" w:rsidDel="00000000" w:rsidP="00000000" w:rsidRDefault="00000000" w:rsidRPr="00000000" w14:paraId="0000002A">
      <w:pPr>
        <w:spacing w:after="160" w:line="288" w:lineRule="auto"/>
        <w:jc w:val="both"/>
        <w:rPr/>
      </w:pPr>
      <w:r w:rsidDel="00000000" w:rsidR="00000000" w:rsidRPr="00000000">
        <w:rPr>
          <w:rtl w:val="0"/>
        </w:rPr>
        <w:t xml:space="preserve">Avançando nas etapas escolares,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 (Gráfico 8).</w:t>
      </w:r>
    </w:p>
    <w:p w:rsidR="00000000" w:rsidDel="00000000" w:rsidP="00000000" w:rsidRDefault="00000000" w:rsidRPr="00000000" w14:paraId="0000002B">
      <w:pPr>
        <w:spacing w:after="160" w:line="288" w:lineRule="auto"/>
        <w:jc w:val="both"/>
        <w:rPr/>
      </w:pPr>
      <w:r w:rsidDel="00000000" w:rsidR="00000000" w:rsidRPr="00000000">
        <w:rPr>
          <w:rtl w:val="0"/>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 (Gráfico 9).</w:t>
      </w:r>
    </w:p>
    <w:p w:rsidR="00000000" w:rsidDel="00000000" w:rsidP="00000000" w:rsidRDefault="00000000" w:rsidRPr="00000000" w14:paraId="0000002C">
      <w:pPr>
        <w:pStyle w:val="Heading2"/>
        <w:spacing w:after="120" w:before="220" w:lineRule="auto"/>
        <w:rPr/>
      </w:pPr>
      <w:r w:rsidDel="00000000" w:rsidR="00000000" w:rsidRPr="00000000">
        <w:rPr>
          <w:b w:val="1"/>
          <w:bCs w:val="1"/>
          <w:color w:val="c00000"/>
          <w:sz w:val="24"/>
          <w:szCs w:val="24"/>
          <w:rtl w:val="0"/>
        </w:rPr>
        <w:t xml:space="preserve">Recorte regional: rede municipal</w:t>
      </w:r>
      <w:r w:rsidDel="00000000" w:rsidR="00000000" w:rsidRPr="00000000">
        <w:rPr>
          <w:rtl w:val="0"/>
        </w:rPr>
      </w:r>
    </w:p>
    <w:p w:rsidR="00000000" w:rsidDel="00000000" w:rsidP="00000000" w:rsidRDefault="00000000" w:rsidRPr="00000000" w14:paraId="0000002D">
      <w:pPr>
        <w:spacing w:after="160" w:line="288" w:lineRule="auto"/>
        <w:jc w:val="both"/>
        <w:rPr/>
      </w:pPr>
      <w:r w:rsidDel="00000000" w:rsidR="00000000" w:rsidRPr="00000000">
        <w:rPr>
          <w:rtl w:val="0"/>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sidDel="00000000" w:rsidR="00000000" w:rsidRPr="00000000">
        <w:rPr>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2E">
      <w:pPr>
        <w:spacing w:after="80" w:before="120" w:lineRule="auto"/>
        <w:jc w:val="center"/>
        <w:rPr/>
      </w:pPr>
      <w:r w:rsidDel="00000000" w:rsidR="00000000" w:rsidRPr="00000000">
        <w:rPr/>
        <w:drawing>
          <wp:inline distB="114300" distT="114300" distL="114300" distR="114300">
            <wp:extent cx="6163000" cy="8350574"/>
            <wp:effectExtent b="0" l="0" r="0" t="0"/>
            <wp:docPr id="210246177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6163000" cy="8350574"/>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80" w:before="120" w:lineRule="auto"/>
        <w:jc w:val="center"/>
        <w:rPr/>
      </w:pPr>
      <w:r w:rsidDel="00000000" w:rsidR="00000000" w:rsidRPr="00000000">
        <w:rPr/>
        <w:drawing>
          <wp:inline distB="114300" distT="114300" distL="114300" distR="114300">
            <wp:extent cx="6163000" cy="8249051"/>
            <wp:effectExtent b="0" l="0" r="0" t="0"/>
            <wp:docPr id="2102461783"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6163000" cy="8249051"/>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60" w:lineRule="auto"/>
        <w:rPr/>
      </w:pPr>
      <w:r w:rsidDel="00000000" w:rsidR="00000000" w:rsidRPr="00000000">
        <w:rPr>
          <w:i w:val="1"/>
          <w:iCs w:val="1"/>
          <w:color w:val="595959"/>
          <w:sz w:val="17"/>
          <w:szCs w:val="17"/>
          <w:rtl w:val="0"/>
        </w:rPr>
        <w:t xml:space="preserve">Fonte: Inep/MEC (Gráficos 10 e 11).</w:t>
      </w:r>
      <w:r w:rsidDel="00000000" w:rsidR="00000000" w:rsidRPr="00000000">
        <w:rPr>
          <w:rtl w:val="0"/>
        </w:rPr>
      </w:r>
    </w:p>
    <w:p w:rsidR="00000000" w:rsidDel="00000000" w:rsidP="00000000" w:rsidRDefault="00000000" w:rsidRPr="00000000" w14:paraId="00002003">
      <w:pPr>
        <w:spacing w:after="160" w:lineRule="auto"/>
        <w:rPr/>
      </w:pPr>
      <w:r w:rsidDel="00000000" w:rsidR="00000000" w:rsidRPr="00000000">
        <w:rPr>
          <w:i w:val="1"/>
          <w:iCs w:val="1"/>
          <w:color w:val="595959"/>
          <w:sz w:val="17"/>
          <w:szCs w:val="17"/>
          <w:rtl w:val="0"/>
        </w:rPr>
        <w:t xml:space="preserve">Nota: SRE com menos de 3 escolas municipais naquela etapa foram omitidas.</w:t>
      </w:r>
      <w:r w:rsidDel="00000000" w:rsidR="00000000" w:rsidRPr="00000000">
        <w:rPr>
          <w:rtl w:val="0"/>
        </w:rPr>
      </w:r>
    </w:p>
    <w:p w:rsidR="00000000" w:rsidDel="00000000" w:rsidP="00000000" w:rsidRDefault="00000000" w:rsidRPr="00000000" w14:paraId="00000031">
      <w:pPr>
        <w:pStyle w:val="Heading2"/>
        <w:spacing w:after="120" w:before="220" w:lineRule="auto"/>
        <w:rPr/>
      </w:pPr>
      <w:r w:rsidDel="00000000" w:rsidR="00000000" w:rsidRPr="00000000">
        <w:rPr>
          <w:b w:val="1"/>
          <w:bCs w:val="1"/>
          <w:color w:val="c00000"/>
          <w:sz w:val="24"/>
          <w:szCs w:val="24"/>
          <w:rtl w:val="0"/>
        </w:rPr>
        <w:t xml:space="preserve">Nível socioeconômico (Inse)</w:t>
      </w:r>
      <w:r w:rsidDel="00000000" w:rsidR="00000000" w:rsidRPr="00000000">
        <w:rPr>
          <w:rtl w:val="0"/>
        </w:rPr>
      </w:r>
    </w:p>
    <w:p w:rsidR="00000000" w:rsidDel="00000000" w:rsidP="00000000" w:rsidRDefault="00000000" w:rsidRPr="00000000" w14:paraId="00000032">
      <w:pPr>
        <w:spacing w:after="160" w:line="288" w:lineRule="auto"/>
        <w:jc w:val="both"/>
        <w:rPr/>
      </w:pPr>
      <w:r w:rsidDel="00000000" w:rsidR="00000000" w:rsidRPr="00000000">
        <w:rPr>
          <w:rtl w:val="0"/>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sidDel="00000000" w:rsidR="00000000" w:rsidRPr="00000000">
        <w:rPr>
          <w:vertAlign w:val="superscript"/>
        </w:rPr>
        <w:footnoteReference w:customMarkFollows="0" w:id="5"/>
      </w:r>
      <w:r w:rsidDel="00000000" w:rsidR="00000000" w:rsidRPr="00000000">
        <w:rPr>
          <w:rtl w:val="0"/>
        </w:rPr>
        <w:t xml:space="preserve">. Assim, regiões com melhor poder aquisitivo dos seus alunos tendem a ter um Ideb mais alto.</w:t>
      </w:r>
    </w:p>
    <w:p w:rsidR="00000000" w:rsidDel="00000000" w:rsidP="00000000" w:rsidRDefault="00000000" w:rsidRPr="00000000" w14:paraId="00000033">
      <w:pPr>
        <w:spacing w:after="160" w:line="288" w:lineRule="auto"/>
        <w:jc w:val="both"/>
        <w:rPr/>
      </w:pPr>
      <w:r w:rsidDel="00000000" w:rsidR="00000000" w:rsidRPr="00000000">
        <w:rPr>
          <w:rtl w:val="0"/>
        </w:rPr>
        <w:t xml:space="preserve">O cruzamento confirma o padrão. As SREs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rsidR="00000000" w:rsidDel="00000000" w:rsidP="00000000" w:rsidRDefault="00000000" w:rsidRPr="00000000" w14:paraId="00000034">
      <w:pPr>
        <w:spacing w:after="160" w:line="288" w:lineRule="auto"/>
        <w:jc w:val="both"/>
        <w:rPr/>
      </w:pPr>
      <w:r w:rsidDel="00000000" w:rsidR="00000000" w:rsidRPr="00000000">
        <w:rPr>
          <w:rtl w:val="0"/>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nos anos finais (r = -0,45, p &lt; 0,01) e no ensino médio (r = -0,67, p &lt; 0,001), confirmando que SRE com nível socioeconômico mais baixo concentram, proporcionalmente, mais escolas com desempenho crítico</w:t>
      </w:r>
      <w:r w:rsidDel="00000000" w:rsidR="00000000" w:rsidRPr="00000000">
        <w:rPr>
          <w:vertAlign w:val="superscript"/>
        </w:rPr>
        <w:footnoteReference w:customMarkFollows="0" w:id="6"/>
      </w:r>
      <w:r w:rsidDel="00000000" w:rsidR="00000000" w:rsidRPr="00000000">
        <w:rPr>
          <w:vertAlign w:val="superscript"/>
          <w:rtl w:val="0"/>
        </w:rPr>
        <w:t xml:space="preserve"> </w:t>
      </w:r>
      <w:r w:rsidDel="00000000" w:rsidR="00000000" w:rsidRPr="00000000">
        <w:rPr>
          <w:rtl w:val="0"/>
        </w:rPr>
        <w:t xml:space="preserve">. Nos anos iniciais, essa correlação não pôde ser calculada em razão do número reduzido de escolas estaduais nessa faixa de desempenho. </w:t>
      </w:r>
    </w:p>
    <w:p w:rsidR="00000000" w:rsidDel="00000000" w:rsidP="00000000" w:rsidRDefault="00000000" w:rsidRPr="00000000" w14:paraId="00001006">
      <w:pPr>
        <w:spacing w:after="80" w:before="120" w:lineRule="auto"/>
        <w:jc w:val="center"/>
        <w:rPr/>
      </w:pPr>
      <w:r w:rsidDel="00000000" w:rsidR="00000000" w:rsidRPr="00000000">
        <w:rPr/>
        <w:drawing>
          <wp:inline distB="114300" distT="114300" distL="114300" distR="114300">
            <wp:extent cx="6163000" cy="3631923"/>
            <wp:effectExtent b="0" l="0" r="0" t="0"/>
            <wp:docPr id="310000000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6163000" cy="3631923"/>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i w:val="1"/>
          <w:iCs w:val="1"/>
          <w:color w:val="595959"/>
          <w:sz w:val="17"/>
          <w:szCs w:val="17"/>
          <w:rtl w:val="0"/>
        </w:rPr>
        <w:t xml:space="preserve">Fonte: Inep/MEC, Indicador de Nível Socioeconômico das Escolas de Educação Básica (Inse), edição 2023.</w:t>
      </w:r>
      <w:r w:rsidDel="00000000" w:rsidR="00000000" w:rsidRPr="00000000">
        <w:rPr>
          <w:rtl w:val="0"/>
        </w:rPr>
      </w:r>
    </w:p>
    <w:p w:rsidR="00000000" w:rsidDel="00000000" w:rsidP="00000000" w:rsidRDefault="00000000" w:rsidRPr="00000000" w14:paraId="00001007">
      <w:pPr>
        <w:spacing w:after="160" w:lineRule="auto"/>
        <w:rPr/>
      </w:pPr>
      <w:r w:rsidDel="00000000" w:rsidR="00000000" w:rsidRPr="00000000">
        <w:rPr>
          <w:i w:val="1"/>
          <w:iCs w:val="1"/>
          <w:color w:val="595959"/>
          <w:sz w:val="17"/>
          <w:szCs w:val="17"/>
          <w:rtl w:val="0"/>
        </w:rPr>
        <w:t xml:space="preserve">Fonte: Inep/MEC (Ideb 2025).</w:t>
      </w:r>
      <w:r w:rsidDel="00000000" w:rsidR="00000000" w:rsidRPr="00000000">
        <w:rPr>
          <w:rtl w:val="0"/>
        </w:rPr>
      </w:r>
    </w:p>
    <w:p w:rsidR="00000000" w:rsidDel="00000000" w:rsidP="00000000" w:rsidRDefault="00000000" w:rsidRPr="00000000" w14:paraId="00001008">
      <w:pPr>
        <w:spacing w:after="160" w:lineRule="auto"/>
        <w:rPr/>
      </w:pPr>
      <w:r w:rsidDel="00000000" w:rsidR="00000000" w:rsidRPr="00000000">
        <w:rPr>
          <w:i w:val="1"/>
          <w:iCs w:val="1"/>
          <w:color w:val="595959"/>
          <w:sz w:val="17"/>
          <w:szCs w:val="17"/>
          <w:rtl w:val="0"/>
        </w:rPr>
        <w:t xml:space="preserve">Nota: cada ponto do Gráfico 12 é uma SRE (rede estadual, N=47); linha tracejada é a reta de regressão linear.</w:t>
      </w:r>
      <w:r w:rsidDel="00000000" w:rsidR="00000000" w:rsidRPr="00000000">
        <w:rPr>
          <w:rtl w:val="0"/>
        </w:rPr>
      </w:r>
    </w:p>
    <w:p w:rsidR="00000000" w:rsidDel="00000000" w:rsidP="00000000" w:rsidRDefault="00000000" w:rsidRPr="00000000" w14:paraId="00000036">
      <w:pPr>
        <w:pStyle w:val="Heading2"/>
        <w:spacing w:after="120" w:before="220" w:lineRule="auto"/>
        <w:rPr/>
      </w:pPr>
      <w:r w:rsidDel="00000000" w:rsidR="00000000" w:rsidRPr="00000000">
        <w:rPr>
          <w:b w:val="1"/>
          <w:bCs w:val="1"/>
          <w:color w:val="c00000"/>
          <w:sz w:val="24"/>
          <w:szCs w:val="24"/>
          <w:rtl w:val="0"/>
        </w:rPr>
        <w:t xml:space="preserve">O que os dados do Ideb informam</w:t>
      </w:r>
      <w:r w:rsidDel="00000000" w:rsidR="00000000" w:rsidRPr="00000000">
        <w:rPr>
          <w:rtl w:val="0"/>
        </w:rPr>
      </w:r>
    </w:p>
    <w:p w:rsidR="00000000" w:rsidDel="00000000" w:rsidP="00000000" w:rsidRDefault="00000000" w:rsidRPr="00000000" w14:paraId="00000037">
      <w:pPr>
        <w:spacing w:after="160" w:line="288" w:lineRule="auto"/>
        <w:jc w:val="both"/>
        <w:rPr/>
      </w:pPr>
      <w:r w:rsidDel="00000000" w:rsidR="00000000" w:rsidRPr="00000000">
        <w:rPr>
          <w:rtl w:val="0"/>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rsidR="00000000" w:rsidDel="00000000" w:rsidP="00000000" w:rsidRDefault="00000000" w:rsidRPr="00000000" w14:paraId="00000038">
      <w:pPr>
        <w:spacing w:after="160" w:line="288" w:lineRule="auto"/>
        <w:jc w:val="both"/>
        <w:rPr/>
      </w:pPr>
      <w:r w:rsidDel="00000000" w:rsidR="00000000" w:rsidRPr="00000000">
        <w:rPr>
          <w:rtl w:val="0"/>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rsidR="00000000" w:rsidDel="00000000" w:rsidP="00000000" w:rsidRDefault="00000000" w:rsidRPr="00000000" w14:paraId="00001009">
      <w:pPr>
        <w:spacing w:after="80" w:before="120" w:lineRule="auto"/>
        <w:jc w:val="center"/>
        <w:rPr/>
      </w:pPr>
      <w:r w:rsidDel="00000000" w:rsidR="00000000" w:rsidRPr="00000000">
        <w:rPr/>
        <w:drawing>
          <wp:inline distB="114300" distT="114300" distL="114300" distR="114300">
            <wp:extent cx="6163000" cy="5271919"/>
            <wp:effectExtent b="0" l="0" r="0" t="0"/>
            <wp:docPr id="3100000003"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6163000" cy="5271919"/>
                    </a:xfrm>
                    <a:prstGeom prst="rect"/>
                    <a:ln/>
                  </pic:spPr>
                </pic:pic>
              </a:graphicData>
            </a:graphic>
          </wp:inline>
        </w:drawing>
      </w:r>
      <w:r w:rsidDel="00000000" w:rsidR="00000000" w:rsidRPr="00000000">
        <w:rPr>
          <w:rtl w:val="0"/>
        </w:rPr>
      </w:r>
    </w:p>
    <w:p w:rsidR="00000000" w:rsidDel="00000000" w:rsidP="00000000" w:rsidRDefault="00000000" w:rsidRPr="00000000" w14:paraId="0000100A">
      <w:pPr>
        <w:spacing w:after="160" w:lineRule="auto"/>
        <w:rPr/>
      </w:pPr>
      <w:r w:rsidDel="00000000" w:rsidR="00000000" w:rsidRPr="00000000">
        <w:rPr>
          <w:i w:val="1"/>
          <w:iCs w:val="1"/>
          <w:color w:val="595959"/>
          <w:sz w:val="17"/>
          <w:szCs w:val="17"/>
          <w:rtl w:val="0"/>
        </w:rPr>
        <w:t xml:space="preserve">Fonte: Inep/MEC, divulgação Ideb 2025 por escola.</w:t>
      </w:r>
      <w:r w:rsidDel="00000000" w:rsidR="00000000" w:rsidRPr="00000000">
        <w:rPr>
          <w:rtl w:val="0"/>
        </w:rPr>
      </w:r>
    </w:p>
    <w:p w:rsidR="00000000" w:rsidDel="00000000" w:rsidP="00000000" w:rsidRDefault="00000000" w:rsidRPr="00000000" w14:paraId="0000100B">
      <w:pPr>
        <w:spacing w:after="160" w:lineRule="auto"/>
        <w:rPr/>
      </w:pPr>
      <w:r w:rsidDel="00000000" w:rsidR="00000000" w:rsidRPr="00000000">
        <w:rPr>
          <w:i w:val="1"/>
          <w:iCs w:val="1"/>
          <w:color w:val="595959"/>
          <w:sz w:val="17"/>
          <w:szCs w:val="17"/>
          <w:rtl w:val="0"/>
        </w:rPr>
        <w:t xml:space="preserve">Nota: o Gráfico 13 mostra a mediana do Ideb das escolas estaduais no ensino médio por RGInt; linha tracejada é o Ideb da rede estadual de MG nessa etapa (4,5).</w:t>
      </w:r>
      <w:r w:rsidDel="00000000" w:rsidR="00000000" w:rsidRPr="00000000">
        <w:rPr>
          <w:rtl w:val="0"/>
        </w:rPr>
      </w:r>
    </w:p>
    <w:p w:rsidR="00000000" w:rsidDel="00000000" w:rsidP="00000000" w:rsidRDefault="00000000" w:rsidRPr="00000000" w14:paraId="00000039">
      <w:pPr>
        <w:spacing w:after="160" w:line="288" w:lineRule="auto"/>
        <w:jc w:val="both"/>
        <w:rPr/>
      </w:pPr>
      <w:r w:rsidDel="00000000" w:rsidR="00000000" w:rsidRPr="00000000">
        <w:rPr>
          <w:rtl w:val="0"/>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sidDel="00000000" w:rsidR="00000000" w:rsidRPr="00000000">
        <w:rPr>
          <w:vertAlign w:val="superscript"/>
        </w:rPr>
        <w:footnoteReference w:customMarkFollows="0" w:id="7"/>
      </w:r>
      <w:r w:rsidDel="00000000" w:rsidR="00000000" w:rsidRPr="00000000">
        <w:rPr>
          <w:rtl w:val="0"/>
        </w:rPr>
        <w:t xml:space="preserve">. Isso não invalida seu uso como referência de acompanhamento, mas recomenda cautela na leitura de variações pontuais e reforça a importância de observar os subíndices, e não apenas o resultado final, na análise de política educacional.</w:t>
      </w:r>
    </w:p>
    <w:p w:rsidR="00000000" w:rsidDel="00000000" w:rsidP="00000000" w:rsidRDefault="00000000" w:rsidRPr="00000000" w14:paraId="0000003A">
      <w:pPr>
        <w:rPr/>
      </w:pPr>
      <w:r w:rsidDel="00000000" w:rsidR="00000000" w:rsidRPr="00000000">
        <w:rPr>
          <w:rtl w:val="0"/>
        </w:rPr>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B">
      <w:pPr>
        <w:rPr/>
      </w:pPr>
      <w:r w:rsidDel="00000000" w:rsidR="00000000" w:rsidRPr="00000000">
        <w:rPr>
          <w:rStyle w:val="FootnoteReference"/>
          <w:vertAlign w:val="superscript"/>
        </w:rPr>
        <w:footnoteRef/>
      </w:r>
      <w:r w:rsidDel="00000000" w:rsidR="00000000" w:rsidRPr="00000000">
        <w:rPr>
          <w:sz w:val="18"/>
          <w:szCs w:val="18"/>
          <w:rtl w:val="0"/>
        </w:rPr>
        <w:t xml:space="preserve">Fernandes, R. Índice de Desenvolvimento da Educação Básica (Ideb). Textos para discussão, n.26, Brasília: Inep, 2007.</w:t>
      </w:r>
      <w:r w:rsidDel="00000000" w:rsidR="00000000" w:rsidRPr="00000000">
        <w:rPr>
          <w:rtl w:val="0"/>
        </w:rPr>
      </w:r>
    </w:p>
  </w:footnote>
  <w:footnote w:id="2">
    <w:p w:rsidR="00000000" w:rsidDel="00000000" w:rsidP="00000000" w:rsidRDefault="00000000" w:rsidRPr="00000000" w14:paraId="0000003C">
      <w:pPr>
        <w:rPr/>
      </w:pPr>
      <w:r w:rsidDel="00000000" w:rsidR="00000000" w:rsidRPr="00000000">
        <w:rPr>
          <w:rStyle w:val="FootnoteReference"/>
          <w:vertAlign w:val="superscript"/>
        </w:rPr>
        <w:footnoteRef/>
      </w:r>
      <w:r w:rsidDel="00000000" w:rsidR="00000000" w:rsidRPr="00000000">
        <w:rPr>
          <w:sz w:val="18"/>
          <w:szCs w:val="18"/>
          <w:rtl w:val="0"/>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r w:rsidDel="00000000" w:rsidR="00000000" w:rsidRPr="00000000">
        <w:rPr>
          <w:rtl w:val="0"/>
        </w:rPr>
      </w:r>
    </w:p>
  </w:footnote>
  <w:footnote w:id="4">
    <w:p w:rsidR="00000000" w:rsidDel="00000000" w:rsidP="00000000" w:rsidRDefault="00000000" w:rsidRPr="00000000" w14:paraId="0000003D">
      <w:pPr>
        <w:rPr/>
      </w:pPr>
      <w:r w:rsidDel="00000000" w:rsidR="00000000" w:rsidRPr="00000000">
        <w:rPr>
          <w:rStyle w:val="FootnoteReference"/>
          <w:vertAlign w:val="superscript"/>
        </w:rPr>
        <w:footnoteRef/>
      </w:r>
      <w:r w:rsidDel="00000000" w:rsidR="00000000" w:rsidRPr="00000000">
        <w:rPr>
          <w:sz w:val="18"/>
          <w:szCs w:val="18"/>
          <w:rtl w:val="0"/>
        </w:rPr>
        <w:t xml:space="preserve">Ensino médio não é analisado na rede municipal por ter poucas escolas municipais ofertantes dessa etapa.</w:t>
      </w:r>
      <w:r w:rsidDel="00000000" w:rsidR="00000000" w:rsidRPr="00000000">
        <w:rPr>
          <w:rtl w:val="0"/>
        </w:rPr>
      </w:r>
    </w:p>
  </w:footnote>
  <w:footnote w:id="5">
    <w:p w:rsidR="00000000" w:rsidDel="00000000" w:rsidP="00000000" w:rsidRDefault="00000000" w:rsidRPr="00000000" w14:paraId="0000003E">
      <w:pPr>
        <w:rPr/>
      </w:pPr>
      <w:r w:rsidDel="00000000" w:rsidR="00000000" w:rsidRPr="00000000">
        <w:rPr>
          <w:rStyle w:val="FootnoteReference"/>
          <w:vertAlign w:val="superscript"/>
        </w:rPr>
        <w:footnoteRef/>
      </w:r>
      <w:r w:rsidDel="00000000" w:rsidR="00000000" w:rsidRPr="00000000">
        <w:rPr>
          <w:sz w:val="18"/>
          <w:szCs w:val="18"/>
          <w:rtl w:val="0"/>
        </w:rPr>
        <w:t xml:space="preserve">Soares e Pereira Xavier, 2013; Figueiredo et al., 2018; Souza, Costa e Riani, 2019.</w:t>
      </w:r>
      <w:r w:rsidDel="00000000" w:rsidR="00000000" w:rsidRPr="00000000">
        <w:rPr>
          <w:rtl w:val="0"/>
        </w:rPr>
      </w:r>
    </w:p>
  </w:footnote>
  <w:footnote w:id="6">
    <w:p w:rsidR="00000000" w:rsidDel="00000000" w:rsidP="00000000" w:rsidRDefault="00000000" w:rsidRPr="00000000" w14:paraId="0000003F">
      <w:pPr>
        <w:rPr/>
      </w:pPr>
      <w:r w:rsidDel="00000000" w:rsidR="00000000" w:rsidRPr="00000000">
        <w:rPr>
          <w:rStyle w:val="FootnoteReference"/>
          <w:vertAlign w:val="superscript"/>
        </w:rPr>
        <w:footnoteRef/>
      </w:r>
      <w:r w:rsidDel="00000000" w:rsidR="00000000" w:rsidRPr="00000000">
        <w:rPr>
          <w:sz w:val="18"/>
          <w:szCs w:val="18"/>
          <w:rtl w:val="0"/>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r w:rsidDel="00000000" w:rsidR="00000000" w:rsidRPr="00000000">
        <w:rPr>
          <w:rtl w:val="0"/>
        </w:rPr>
      </w:r>
    </w:p>
  </w:footnote>
  <w:footnote w:id="7">
    <w:p w:rsidR="00000000" w:rsidDel="00000000" w:rsidP="00000000" w:rsidRDefault="00000000" w:rsidRPr="00000000" w14:paraId="00000040">
      <w:pPr>
        <w:rPr/>
      </w:pPr>
      <w:r w:rsidDel="00000000" w:rsidR="00000000" w:rsidRPr="00000000">
        <w:rPr>
          <w:rStyle w:val="FootnoteReference"/>
          <w:vertAlign w:val="superscript"/>
        </w:rPr>
        <w:footnoteRef/>
      </w:r>
      <w:r w:rsidDel="00000000" w:rsidR="00000000" w:rsidRPr="00000000">
        <w:rPr>
          <w:sz w:val="18"/>
          <w:szCs w:val="18"/>
          <w:rtl w:val="0"/>
        </w:rPr>
        <w:t xml:space="preserve">Figueiredo, D., Carmo, E., Maia, R. e Silva, L. Os cavalos também caem: tratado das inconsistências do Ideb. Ensaio: avaliação e políticas públicas em educação, v.26, n.100, 2018.</w:t>
      </w:r>
      <w:r w:rsidDel="00000000" w:rsidR="00000000" w:rsidRPr="00000000">
        <w:rPr>
          <w:rtl w:val="0"/>
        </w:rPr>
      </w:r>
    </w:p>
  </w:footnote>
  <w:footnote w:id="3">
    <w:p w:rsidR="00000000" w:rsidDel="00000000" w:rsidP="00000000" w:rsidRDefault="00000000" w:rsidRPr="00000000" w14:paraId="00000041">
      <w:pPr>
        <w:rPr/>
      </w:pPr>
      <w:r w:rsidDel="00000000" w:rsidR="00000000" w:rsidRPr="00000000">
        <w:rPr>
          <w:rStyle w:val="FootnoteReference"/>
          <w:vertAlign w:val="superscript"/>
        </w:rPr>
        <w:footnoteRef/>
      </w:r>
      <w:r w:rsidDel="00000000" w:rsidR="00000000" w:rsidRPr="00000000">
        <w:rPr>
          <w:sz w:val="18"/>
          <w:szCs w:val="18"/>
          <w:rtl w:val="0"/>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r w:rsidDel="00000000" w:rsidR="00000000" w:rsidRPr="00000000">
        <w:rPr>
          <w:rtl w:val="0"/>
        </w:rPr>
      </w:r>
    </w:p>
  </w:footnote>
  <w:footnote w:id="1">
    <w:p w:rsidR="00000000" w:rsidDel="00000000" w:rsidP="00000000" w:rsidRDefault="00000000" w:rsidRPr="00000000" w14:paraId="0000004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RIANI, Juliana Lucena Ruas; FERREIRA, Victor Barcelos. O desempenho da educação básica em Minas Gerais (Ideb). Informativo FJP, Belo Horizonte, v. 1, n. 3, 14 dez. 2020. Área Temática: Educação.</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78.00000000000006"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78.00000000000006"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78.00000000000006"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78.00000000000006" w:lineRule="auto"/>
    </w:pPr>
    <w:rPr>
      <w:rFonts w:ascii="Aptos" w:cs="Aptos" w:eastAsia="Aptos" w:hAnsi="Aptos"/>
      <w:i w:val="1"/>
      <w:iCs w:val="1"/>
      <w:color w:val="0f4761"/>
      <w:sz w:val="24"/>
      <w:szCs w:val="24"/>
    </w:rPr>
  </w:style>
  <w:style w:type="paragraph" w:styleId="Heading5">
    <w:name w:val="heading 5"/>
    <w:basedOn w:val="Normal"/>
    <w:next w:val="Normal"/>
    <w:pPr>
      <w:keepNext w:val="1"/>
      <w:keepLines w:val="1"/>
      <w:spacing w:after="40" w:before="80" w:line="278.00000000000006" w:lineRule="auto"/>
    </w:pPr>
    <w:rPr>
      <w:rFonts w:ascii="Aptos" w:cs="Aptos" w:eastAsia="Aptos" w:hAnsi="Aptos"/>
      <w:color w:val="0f4761"/>
      <w:sz w:val="24"/>
      <w:szCs w:val="24"/>
    </w:rPr>
  </w:style>
  <w:style w:type="paragraph" w:styleId="Heading6">
    <w:name w:val="heading 6"/>
    <w:basedOn w:val="Normal"/>
    <w:next w:val="Normal"/>
    <w:pPr>
      <w:keepNext w:val="1"/>
      <w:keepLines w:val="1"/>
      <w:spacing w:before="40" w:line="278.00000000000006" w:lineRule="auto"/>
    </w:pPr>
    <w:rPr>
      <w:rFonts w:ascii="Aptos" w:cs="Aptos" w:eastAsia="Aptos" w:hAnsi="Aptos"/>
      <w:i w:val="1"/>
      <w:iCs w:val="1"/>
      <w:color w:val="595959"/>
      <w:sz w:val="24"/>
      <w:szCs w:val="24"/>
    </w:rPr>
  </w:style>
  <w:style w:type="paragraph" w:styleId="Title">
    <w:name w:val="Title"/>
    <w:basedOn w:val="Normal"/>
    <w:next w:val="Normal"/>
    <w:pPr>
      <w:spacing w:after="8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464DD8"/>
    <w:pPr>
      <w:keepNext w:val="1"/>
      <w:keepLines w:val="1"/>
      <w:spacing w:before="40" w:line="278" w:lineRule="auto"/>
      <w:outlineLvl w:val="6"/>
    </w:pPr>
    <w:rPr>
      <w:rFonts w:asciiTheme="minorHAnsi" w:cstheme="majorBidi" w:eastAsiaTheme="majorEastAsia" w:hAnsiTheme="minorHAnsi"/>
      <w:color w:val="595959" w:themeColor="text1" w:themeTint="0000A6"/>
      <w:kern w:val="2"/>
      <w:sz w:val="24"/>
      <w:szCs w:val="24"/>
      <w:lang w:eastAsia="en-US"/>
    </w:rPr>
  </w:style>
  <w:style w:type="paragraph" w:styleId="Ttulo8">
    <w:name w:val="heading 8"/>
    <w:basedOn w:val="Normal"/>
    <w:next w:val="Normal"/>
    <w:link w:val="Ttulo8Char"/>
    <w:uiPriority w:val="9"/>
    <w:semiHidden w:val="1"/>
    <w:unhideWhenUsed w:val="1"/>
    <w:qFormat w:val="1"/>
    <w:rsid w:val="00464DD8"/>
    <w:pPr>
      <w:keepNext w:val="1"/>
      <w:keepLines w:val="1"/>
      <w:spacing w:line="278" w:lineRule="auto"/>
      <w:outlineLvl w:val="7"/>
    </w:pPr>
    <w:rPr>
      <w:rFonts w:asciiTheme="minorHAnsi" w:cstheme="majorBidi" w:eastAsiaTheme="majorEastAsia" w:hAnsiTheme="minorHAnsi"/>
      <w:i w:val="1"/>
      <w:iCs w:val="1"/>
      <w:color w:val="272727" w:themeColor="text1" w:themeTint="0000D8"/>
      <w:kern w:val="2"/>
      <w:sz w:val="24"/>
      <w:szCs w:val="24"/>
      <w:lang w:eastAsia="en-US"/>
    </w:rPr>
  </w:style>
  <w:style w:type="paragraph" w:styleId="Ttulo9">
    <w:name w:val="heading 9"/>
    <w:basedOn w:val="Normal"/>
    <w:next w:val="Normal"/>
    <w:link w:val="Ttulo9Char"/>
    <w:uiPriority w:val="9"/>
    <w:semiHidden w:val="1"/>
    <w:unhideWhenUsed w:val="1"/>
    <w:qFormat w:val="1"/>
    <w:rsid w:val="00464DD8"/>
    <w:pPr>
      <w:keepNext w:val="1"/>
      <w:keepLines w:val="1"/>
      <w:spacing w:line="278" w:lineRule="auto"/>
      <w:outlineLvl w:val="8"/>
    </w:pPr>
    <w:rPr>
      <w:rFonts w:asciiTheme="minorHAnsi" w:cstheme="majorBidi" w:eastAsiaTheme="majorEastAsia" w:hAnsiTheme="minorHAnsi"/>
      <w:color w:val="272727" w:themeColor="text1" w:themeTint="0000D8"/>
      <w:kern w:val="2"/>
      <w:sz w:val="24"/>
      <w:szCs w:val="24"/>
      <w:lang w:eastAsia="en-US"/>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EstiloLegenda-ABNT" w:customStyle="1">
    <w:name w:val="Estilo Legenda - ABNT"/>
    <w:basedOn w:val="Legenda"/>
    <w:next w:val="Normal"/>
    <w:rsid w:val="0037141F"/>
    <w:pPr>
      <w:spacing w:after="0"/>
    </w:pPr>
    <w:rPr>
      <w:rFonts w:ascii="Arial" w:cs="Times New Roman" w:eastAsia="Times New Roman" w:hAnsi="Arial"/>
      <w:i w:val="0"/>
      <w:color w:val="auto"/>
      <w:sz w:val="20"/>
      <w:szCs w:val="20"/>
    </w:rPr>
  </w:style>
  <w:style w:type="paragraph" w:styleId="Legenda">
    <w:name w:val="caption"/>
    <w:basedOn w:val="Normal"/>
    <w:next w:val="Normal"/>
    <w:uiPriority w:val="35"/>
    <w:unhideWhenUsed w:val="1"/>
    <w:qFormat w:val="1"/>
    <w:rsid w:val="0037141F"/>
    <w:pPr>
      <w:spacing w:after="200"/>
    </w:pPr>
    <w:rPr>
      <w:rFonts w:asciiTheme="minorHAnsi" w:cstheme="minorBidi" w:eastAsiaTheme="minorHAnsi" w:hAnsiTheme="minorHAnsi"/>
      <w:i w:val="1"/>
      <w:iCs w:val="1"/>
      <w:color w:val="0e2841" w:themeColor="text2"/>
      <w:kern w:val="2"/>
      <w:sz w:val="18"/>
      <w:szCs w:val="18"/>
      <w:lang w:eastAsia="en-US"/>
    </w:rPr>
  </w:style>
  <w:style w:type="character" w:styleId="Ttulo1Char" w:customStyle="1">
    <w:name w:val="Título 1 Char"/>
    <w:basedOn w:val="Fontepargpadro"/>
    <w:link w:val="Ttulo1"/>
    <w:uiPriority w:val="9"/>
    <w:rsid w:val="00464DD8"/>
    <w:rPr>
      <w:rFonts w:asciiTheme="majorHAnsi" w:cstheme="majorBidi" w:eastAsiaTheme="majorEastAsia" w:hAnsiTheme="majorHAnsi"/>
      <w:color w:val="0f4761" w:themeColor="accent1" w:themeShade="0000BF"/>
      <w:sz w:val="40"/>
      <w:szCs w:val="40"/>
    </w:rPr>
  </w:style>
  <w:style w:type="character" w:styleId="Ttulo2Char" w:customStyle="1">
    <w:name w:val="Título 2 Char"/>
    <w:basedOn w:val="Fontepargpadro"/>
    <w:link w:val="Ttulo2"/>
    <w:uiPriority w:val="9"/>
    <w:semiHidden w:val="1"/>
    <w:rsid w:val="00464DD8"/>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464DD8"/>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464DD8"/>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464DD8"/>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464DD8"/>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464DD8"/>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464DD8"/>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464DD8"/>
    <w:rPr>
      <w:rFonts w:cstheme="majorBidi" w:eastAsiaTheme="majorEastAsia"/>
      <w:color w:val="272727" w:themeColor="text1" w:themeTint="0000D8"/>
    </w:rPr>
  </w:style>
  <w:style w:type="character" w:styleId="TtuloChar" w:customStyle="1">
    <w:name w:val="Título Char"/>
    <w:basedOn w:val="Fontepargpadro"/>
    <w:link w:val="Ttulo"/>
    <w:uiPriority w:val="10"/>
    <w:rsid w:val="00464DD8"/>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464DD8"/>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464DD8"/>
    <w:pPr>
      <w:spacing w:after="160" w:before="160" w:line="278" w:lineRule="auto"/>
      <w:jc w:val="center"/>
    </w:pPr>
    <w:rPr>
      <w:rFonts w:asciiTheme="minorHAnsi" w:cstheme="minorBidi" w:eastAsiaTheme="minorHAnsi" w:hAnsiTheme="minorHAnsi"/>
      <w:i w:val="1"/>
      <w:iCs w:val="1"/>
      <w:color w:val="404040" w:themeColor="text1" w:themeTint="0000BF"/>
      <w:kern w:val="2"/>
      <w:sz w:val="24"/>
      <w:szCs w:val="24"/>
      <w:lang w:eastAsia="en-US"/>
    </w:rPr>
  </w:style>
  <w:style w:type="character" w:styleId="CitaoChar" w:customStyle="1">
    <w:name w:val="Citação Char"/>
    <w:basedOn w:val="Fontepargpadro"/>
    <w:link w:val="Citao"/>
    <w:uiPriority w:val="29"/>
    <w:rsid w:val="00464DD8"/>
    <w:rPr>
      <w:i w:val="1"/>
      <w:iCs w:val="1"/>
      <w:color w:val="404040" w:themeColor="text1" w:themeTint="0000BF"/>
    </w:rPr>
  </w:style>
  <w:style w:type="paragraph" w:styleId="PargrafodaLista">
    <w:name w:val="List Paragraph"/>
    <w:basedOn w:val="Normal"/>
    <w:uiPriority w:val="34"/>
    <w:qFormat w:val="1"/>
    <w:rsid w:val="00464DD8"/>
    <w:pPr>
      <w:spacing w:after="160" w:line="278" w:lineRule="auto"/>
      <w:ind w:left="720"/>
      <w:contextualSpacing w:val="1"/>
    </w:pPr>
    <w:rPr>
      <w:rFonts w:asciiTheme="minorHAnsi" w:cstheme="minorBidi" w:eastAsiaTheme="minorHAnsi" w:hAnsiTheme="minorHAnsi"/>
      <w:kern w:val="2"/>
      <w:sz w:val="24"/>
      <w:szCs w:val="24"/>
      <w:lang w:eastAsia="en-US"/>
    </w:rPr>
  </w:style>
  <w:style w:type="character" w:styleId="nfaseIntensa">
    <w:name w:val="Intense Emphasis"/>
    <w:basedOn w:val="Fontepargpadro"/>
    <w:uiPriority w:val="21"/>
    <w:qFormat w:val="1"/>
    <w:rsid w:val="00464DD8"/>
    <w:rPr>
      <w:i w:val="1"/>
      <w:iCs w:val="1"/>
      <w:color w:val="0f4761" w:themeColor="accent1" w:themeShade="0000BF"/>
    </w:rPr>
  </w:style>
  <w:style w:type="paragraph" w:styleId="CitaoIntensa">
    <w:name w:val="Intense Quote"/>
    <w:basedOn w:val="Normal"/>
    <w:next w:val="Normal"/>
    <w:link w:val="CitaoIntensaChar"/>
    <w:uiPriority w:val="30"/>
    <w:qFormat w:val="1"/>
    <w:rsid w:val="00464DD8"/>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asciiTheme="minorHAnsi" w:cstheme="minorBidi" w:eastAsiaTheme="minorHAnsi" w:hAnsiTheme="minorHAnsi"/>
      <w:i w:val="1"/>
      <w:iCs w:val="1"/>
      <w:color w:val="0f4761" w:themeColor="accent1" w:themeShade="0000BF"/>
      <w:kern w:val="2"/>
      <w:sz w:val="24"/>
      <w:szCs w:val="24"/>
      <w:lang w:eastAsia="en-US"/>
    </w:rPr>
  </w:style>
  <w:style w:type="character" w:styleId="CitaoIntensaChar" w:customStyle="1">
    <w:name w:val="Citação Intensa Char"/>
    <w:basedOn w:val="Fontepargpadro"/>
    <w:link w:val="CitaoIntensa"/>
    <w:uiPriority w:val="30"/>
    <w:rsid w:val="00464DD8"/>
    <w:rPr>
      <w:i w:val="1"/>
      <w:iCs w:val="1"/>
      <w:color w:val="0f4761" w:themeColor="accent1" w:themeShade="0000BF"/>
    </w:rPr>
  </w:style>
  <w:style w:type="character" w:styleId="RefernciaIntensa">
    <w:name w:val="Intense Reference"/>
    <w:basedOn w:val="Fontepargpadro"/>
    <w:uiPriority w:val="32"/>
    <w:qFormat w:val="1"/>
    <w:rsid w:val="00464DD8"/>
    <w:rPr>
      <w:b w:val="1"/>
      <w:bCs w:val="1"/>
      <w:smallCaps w:val="1"/>
      <w:color w:val="0f4761" w:themeColor="accent1" w:themeShade="0000BF"/>
      <w:spacing w:val="5"/>
    </w:rPr>
  </w:style>
  <w:style w:type="character" w:styleId="Refdenotaderodap">
    <w:name w:val="footnote reference"/>
    <w:uiPriority w:val="99"/>
    <w:semiHidden w:val="1"/>
    <w:unhideWhenUsed w:val="1"/>
    <w:rsid w:val="00B4073B"/>
    <w:rPr>
      <w:vertAlign w:val="superscript"/>
    </w:rPr>
  </w:style>
  <w:style w:type="paragraph" w:styleId="Subtitle">
    <w:name w:val="Subtitle"/>
    <w:basedOn w:val="Normal"/>
    <w:next w:val="Normal"/>
    <w:pPr>
      <w:spacing w:after="160" w:line="278.00000000000006" w:lineRule="auto"/>
    </w:pPr>
    <w:rPr>
      <w:rFonts w:ascii="Aptos" w:cs="Aptos" w:eastAsia="Aptos" w:hAnsi="Aptos"/>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1.png"/><Relationship Id="rId17" Type="http://schemas.openxmlformats.org/officeDocument/2006/relationships/image" Target="media/image6.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M/pGejnp30PocSFDeheTZFtBwA==">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2026-08-26T01:52:00Z</dcterms:created>
  <dc:creator>Mariel Gruppi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54323736-33de-45ab-bb52-0938b025b3bc</vt:lpwstr>
  </property>
</Properties>
</file>