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3628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83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47637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63770"/>
                    </a:xfrm>
                    <a:prstGeom prst="rect">
                      <a:avLst/>
                    </a:prstGeom>
                  </pic:spPr>
                </pic:pic>
              </a:graphicData>
            </a:graphic>
          </wp:inline>
        </w:drawing>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47637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63770"/>
                    </a:xfrm>
                    <a:prstGeom prst="rect">
                      <a:avLst/>
                    </a:prstGeom>
                  </pic:spPr>
                </pic:pic>
              </a:graphicData>
            </a:graphic>
          </wp:inline>
        </w:drawing>
      </w:r>
    </w:p>
    <w:p>
      <w:pPr>
        <w:spacing w:after="80" w:before="12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48150"/>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before="100"/>
      </w:pPr>
      <w:r>
        <w:rPr>
          <w:i/>
          <w:iCs/>
          <w:color w:val="595959"/>
          <w:sz w:val="19"/>
          <w:szCs w:val="19"/>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percentual do desempenho (nota média padronizada obtida pelo Saeb) e do rendimento (indicador de aprovação) entre 2023 e 2025, em cada rede de ensino.</w:t>
      </w:r>
    </w:p>
    <w:p>
      <w:pPr>
        <w:spacing w:after="80" w:before="120"/>
        <w:jc w:val="center"/>
      </w:pPr>
      <w:r>
        <w:drawing>
          <wp:inline distT="0" distB="0" distL="0" distR="0">
            <wp:extent cx="5715000" cy="26079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7945"/>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ficou estável nos anos iniciais e subiu nos anos finais e no ensino médio, entre 0,3% e 14,0%, mas cujo desempenho no Saeb caiu nas três etapas. Ou seja, a rede privada aprovou mais alunos sem que isso viesse acompanhado, em média, de mais aprendizagem, movimento inverso ao observado nas redes públicas.</w:t>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before="100"/>
      </w:pPr>
      <w:r>
        <w:rPr>
          <w:i/>
          <w:iCs/>
          <w:color w:val="595959"/>
          <w:sz w:val="19"/>
          <w:szCs w:val="19"/>
        </w:rPr>
        <w:t xml:space="preserve">Fonte: Inep/MEC, divulgação Ideb 2025 por UF (ranking calculado sobre as 27 unidades da federação).</w:t>
      </w:r>
    </w:p>
    <w:p>
      <w:pPr>
        <w:spacing w:after="80" w:before="120"/>
        <w:jc w:val="center"/>
      </w:pPr>
      <w:r>
        <w:drawing>
          <wp:inline distT="0" distB="0" distL="0" distR="0">
            <wp:extent cx="5461000" cy="706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067550"/>
                    </a:xfrm>
                    <a:prstGeom prst="rect">
                      <a:avLst/>
                    </a:prstGeom>
                  </pic:spPr>
                </pic:pic>
              </a:graphicData>
            </a:graphic>
          </wp:inline>
        </w:drawing>
      </w:r>
    </w:p>
    <w:p>
      <w:pPr>
        <w:spacing w:after="160" w:before="100"/>
      </w:pPr>
      <w:r>
        <w:rPr>
          <w:i/>
          <w:iCs/>
          <w:color w:val="595959"/>
          <w:sz w:val="19"/>
          <w:szCs w:val="19"/>
        </w:rPr>
        <w:t xml:space="preserve">Fonte: Inep/MEC (Gráfico 6).</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12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127875"/>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84098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7 a 9,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before="100"/>
      </w:pPr>
      <w:r>
        <w:rPr>
          <w:i/>
          <w:iCs/>
          <w:color w:val="595959"/>
          <w:sz w:val="19"/>
          <w:szCs w:val="19"/>
        </w:rPr>
        <w:t xml:space="preserve">Fonte: Inep/MEC (Gráficos 7, 8 e 9).</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6987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61000" cy="7698740"/>
                    </a:xfrm>
                    <a:prstGeom prst="rect">
                      <a:avLst/>
                    </a:prstGeom>
                  </pic:spPr>
                </pic:pic>
              </a:graphicData>
            </a:graphic>
          </wp:inline>
        </w:drawing>
      </w:r>
    </w:p>
    <w:p>
      <w:pPr>
        <w:spacing w:after="160" w:before="100"/>
      </w:pPr>
      <w:r>
        <w:rPr>
          <w:i/>
          <w:iCs/>
          <w:color w:val="595959"/>
          <w:sz w:val="19"/>
          <w:szCs w:val="19"/>
        </w:rPr>
        <w:t xml:space="preserve">Fonte: Inep/MEC (Gráficos 10 e 11).</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80" w:before="120"/>
        <w:jc w:val="center"/>
      </w:pPr>
      <w:r>
        <w:drawing>
          <wp:inline distT="0" distB="0" distL="0" distR="0">
            <wp:extent cx="5461000" cy="31838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61000" cy="3183890"/>
                    </a:xfrm>
                    <a:prstGeom prst="rect">
                      <a:avLst/>
                    </a:prstGeom>
                  </pic:spPr>
                </pic:pic>
              </a:graphicData>
            </a:graphic>
          </wp:inline>
        </w:drawing>
      </w:r>
    </w:p>
    <w:p>
      <w:pPr>
        <w:spacing w:after="160" w:before="100"/>
      </w:pPr>
      <w:r>
        <w:rPr>
          <w:i/>
          <w:iCs/>
          <w:color w:val="595959"/>
          <w:sz w:val="19"/>
          <w:szCs w:val="19"/>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80" w:before="120"/>
        <w:jc w:val="center"/>
      </w:pPr>
      <w:r>
        <w:drawing>
          <wp:inline distT="0" distB="0" distL="0" distR="0">
            <wp:extent cx="5461000" cy="55695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61000" cy="5569585"/>
                    </a:xfrm>
                    <a:prstGeom prst="rect">
                      <a:avLst/>
                    </a:prstGeom>
                  </pic:spPr>
                </pic:pic>
              </a:graphicData>
            </a:graphic>
          </wp:inline>
        </w:drawing>
      </w:r>
    </w:p>
    <w:p>
      <w:pPr>
        <w:spacing w:after="160" w:before="100"/>
      </w:pPr>
      <w:r>
        <w:rPr>
          <w:i/>
          <w:iCs/>
          <w:color w:val="595959"/>
          <w:sz w:val="19"/>
          <w:szCs w:val="19"/>
        </w:rPr>
        <w:t xml:space="preserve">Fonte: Inep/MEC, divulgação Ideb 2025 por escola.</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5689803158ba07ef8e0b38da49c502e32a9596.png"/><Relationship Id="rId8" Type="http://schemas.openxmlformats.org/officeDocument/2006/relationships/image" Target="media/a295f15b43513a5983bea2534f01c07745ba5096.png"/><Relationship Id="rId9" Type="http://schemas.openxmlformats.org/officeDocument/2006/relationships/image" Target="media/850fd92b3ba5362e2f2a77a75ccf92895afac72e.png"/><Relationship Id="rId10" Type="http://schemas.openxmlformats.org/officeDocument/2006/relationships/image" Target="media/d6721851bd984a0dad145aba2707b2967e0e7813.png"/><Relationship Id="rId11" Type="http://schemas.openxmlformats.org/officeDocument/2006/relationships/image" Target="media/9cd48f1cf7cf3602b7e15f3c1d30e62066f8d0a2.png"/><Relationship Id="rId12" Type="http://schemas.openxmlformats.org/officeDocument/2006/relationships/image" Target="media/29cdd321cc3adf8a19bf7bf02eee05770d58c6e1.png"/><Relationship Id="rId13" Type="http://schemas.openxmlformats.org/officeDocument/2006/relationships/image" Target="media/4d9a2522dfd8826f6141ffd4acfbfcd625e1bdeb.png"/><Relationship Id="rId14" Type="http://schemas.openxmlformats.org/officeDocument/2006/relationships/image" Target="media/61678639cef2a7e7014f1eb08b56f145f5181e06.png"/><Relationship Id="rId15" Type="http://schemas.openxmlformats.org/officeDocument/2006/relationships/image" Target="media/f25282a1be0b9a8fbc98adea2c4475af4bb8aa97.png"/><Relationship Id="rId16" Type="http://schemas.openxmlformats.org/officeDocument/2006/relationships/image" Target="media/66696aa13f924397c43fe0fa47fefde28d868ecb.png"/><Relationship Id="rId17" Type="http://schemas.openxmlformats.org/officeDocument/2006/relationships/image" Target="media/561da69ca714df283fde751c6449b81e2f649ad8.png"/><Relationship Id="rId18" Type="http://schemas.openxmlformats.org/officeDocument/2006/relationships/image" Target="media/fba75ba5cebe7c002996c67ae92c301a028ac81d.png"/><Relationship Id="rId19" Type="http://schemas.openxmlformats.org/officeDocument/2006/relationships/image" Target="media/60648adb7fb38e7f9eb070170164958faa76029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2026-08-27T20:30:42.274Z</dcterms:created>
  <dcterms:modified xsi:type="dcterms:W3CDTF">2026-08-27T20:30:42.275Z</dcterms:modified>
</cp:coreProperties>
</file>

<file path=docProps/custom.xml><?xml version="1.0" encoding="utf-8"?>
<Properties xmlns="http://schemas.openxmlformats.org/officeDocument/2006/custom-properties" xmlns:vt="http://schemas.openxmlformats.org/officeDocument/2006/docPropsVTypes"/>
</file>