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1F497D"/>
          <w:sz w:val="44"/>
        </w:rPr>
        <w:t>RAPPORT DE PRÉSENTATION</w:t>
      </w:r>
    </w:p>
    <w:p>
      <w:pPr>
        <w:jc w:val="center"/>
      </w:pPr>
      <w:r>
        <w:rPr>
          <w:b/>
          <w:color w:val="2E75B6"/>
          <w:sz w:val="36"/>
        </w:rPr>
        <w:t>Système de Gestion d'Événements</w:t>
      </w:r>
    </w:p>
    <w:p/>
    <w:p>
      <w:pPr>
        <w:jc w:val="center"/>
        <w:pBdr>
          <w:bottom w:val="single" w:sz="6" w:space="1" w:color="2E75B6"/>
        </w:pBdr>
      </w:pPr>
    </w:p>
    <w:p/>
    <w:p>
      <w:pPr>
        <w:jc w:val="center"/>
      </w:pPr>
      <w:r>
        <w:rPr>
          <w:b/>
          <w:sz w:val="24"/>
        </w:rPr>
        <w:t xml:space="preserve">Préparé par : </w:t>
      </w:r>
      <w:r>
        <w:rPr>
          <w:sz w:val="24"/>
        </w:rPr>
        <w:t>Mariem Achouri</w:t>
      </w:r>
    </w:p>
    <w:p>
      <w:pPr>
        <w:jc w:val="center"/>
      </w:pPr>
      <w:r>
        <w:rPr>
          <w:b/>
          <w:sz w:val="24"/>
        </w:rPr>
        <w:t xml:space="preserve">Encadrant : </w:t>
      </w:r>
      <w:r>
        <w:rPr>
          <w:sz w:val="24"/>
        </w:rPr>
        <w:t>Mezni Houssem</w:t>
      </w:r>
    </w:p>
    <w:p>
      <w:pPr>
        <w:jc w:val="center"/>
      </w:pPr>
      <w:r>
        <w:rPr>
          <w:b/>
          <w:sz w:val="24"/>
        </w:rPr>
        <w:t xml:space="preserve">Date : </w:t>
      </w:r>
      <w:r>
        <w:rPr>
          <w:sz w:val="24"/>
        </w:rPr>
        <w:t>01 June 2026</w:t>
      </w:r>
    </w:p>
    <w:p>
      <w:pPr>
        <w:jc w:val="center"/>
      </w:pPr>
      <w:r>
        <w:rPr>
          <w:b/>
          <w:sz w:val="24"/>
        </w:rPr>
        <w:t xml:space="preserve">Établissement : </w:t>
      </w:r>
      <w:r>
        <w:rPr>
          <w:sz w:val="24"/>
        </w:rPr>
        <w:t>ESPRIT</w:t>
      </w:r>
    </w:p>
    <w:p>
      <w:r>
        <w:br w:type="page"/>
      </w:r>
    </w:p>
    <w:p>
      <w:pPr>
        <w:pStyle w:val="Heading1"/>
      </w:pPr>
      <w:r>
        <w:rPr>
          <w:b/>
          <w:color w:val="1F497D"/>
        </w:rPr>
        <w:t>1. Introduction</w:t>
      </w:r>
    </w:p>
    <w:p>
      <w:r>
        <w:rPr>
          <w:b w:val="0"/>
          <w:i w:val="0"/>
          <w:sz w:val="22"/>
        </w:rPr>
        <w:t>Le présent rapport décrit les fonctionnalités de l'application web de Gestion d'Événements développée dans le cadre d'un projet de fin d'études. L'application repose sur une architecture microservices combinant Spring Boot et Quarkus côté backend, et Angular côté frontend (BackOffice). Elle offre une plateforme complète pour créer, gérer et suivre des événements, avec des fonctionnalités avancées intégrant l'intelligence artificielle.</w:t>
      </w:r>
    </w:p>
    <w:p>
      <w:pPr>
        <w:pStyle w:val="Heading1"/>
      </w:pPr>
      <w:r>
        <w:rPr>
          <w:b/>
          <w:color w:val="1F497D"/>
        </w:rPr>
        <w:t>2. Architecture Générale</w:t>
      </w:r>
    </w:p>
    <w:p>
      <w:r>
        <w:rPr>
          <w:b w:val="0"/>
          <w:i w:val="0"/>
          <w:sz w:val="22"/>
        </w:rPr>
        <w:t>L'application est structurée en plusieurs microservices indépendants, chacun responsable d'un domaine métier précis. Ces services communiquent via une API Gateway et sont découverts dynamiquement grâce à Eureka.</w:t>
      </w:r>
    </w:p>
    <w:p>
      <w:pPr>
        <w:spacing w:before="200" w:after="100"/>
      </w:pPr>
      <w:r>
        <w:rPr>
          <w:b/>
          <w:color w:val="2E75B6"/>
          <w:sz w:val="24"/>
        </w:rPr>
        <w:t>Services d'Infrastructure</w:t>
      </w:r>
    </w:p>
    <w:p>
      <w:pPr>
        <w:pStyle w:val="ListBullet"/>
      </w:pPr>
      <w:r>
        <w:rPr>
          <w:sz w:val="22"/>
        </w:rPr>
        <w:t>Eureka Server (port 8761) — Découverte de services</w:t>
      </w:r>
    </w:p>
    <w:p>
      <w:pPr>
        <w:pStyle w:val="ListBullet"/>
      </w:pPr>
      <w:r>
        <w:rPr>
          <w:sz w:val="22"/>
        </w:rPr>
        <w:t>Config Server (port 8888) — Configuration centralisée</w:t>
      </w:r>
    </w:p>
    <w:p>
      <w:pPr>
        <w:pStyle w:val="ListBullet"/>
      </w:pPr>
      <w:r>
        <w:rPr>
          <w:sz w:val="22"/>
        </w:rPr>
        <w:t>API Gateway (port 8080) — Point d'entrée unique</w:t>
      </w:r>
    </w:p>
    <w:p>
      <w:pPr>
        <w:pStyle w:val="ListBullet"/>
      </w:pPr>
      <w:r>
        <w:rPr>
          <w:sz w:val="22"/>
        </w:rPr>
        <w:t>Keycloak (port 8180) — Authentification &amp; autorisation</w:t>
      </w:r>
    </w:p>
    <w:p>
      <w:pPr>
        <w:spacing w:before="200" w:after="100"/>
      </w:pPr>
      <w:r>
        <w:rPr>
          <w:b/>
          <w:color w:val="2E75B6"/>
          <w:sz w:val="24"/>
        </w:rPr>
        <w:t>Microservices Métier</w:t>
      </w:r>
    </w:p>
    <w:p>
      <w:pPr>
        <w:pStyle w:val="ListBullet"/>
      </w:pPr>
      <w:r>
        <w:rPr>
          <w:sz w:val="22"/>
        </w:rPr>
        <w:t>Users Service (port 8083) — Gestion des utilisateurs</w:t>
      </w:r>
    </w:p>
    <w:p>
      <w:pPr>
        <w:pStyle w:val="ListBullet"/>
      </w:pPr>
      <w:r>
        <w:rPr>
          <w:sz w:val="22"/>
        </w:rPr>
        <w:t>Events Service (port 8081) — Gestion des événements</w:t>
      </w:r>
    </w:p>
    <w:p>
      <w:pPr>
        <w:pStyle w:val="ListBullet"/>
      </w:pPr>
      <w:r>
        <w:rPr>
          <w:sz w:val="22"/>
        </w:rPr>
        <w:t>Registrations Service (port 8082) — Inscriptions</w:t>
      </w:r>
    </w:p>
    <w:p>
      <w:pPr>
        <w:pStyle w:val="ListBullet"/>
      </w:pPr>
      <w:r>
        <w:rPr>
          <w:sz w:val="22"/>
        </w:rPr>
        <w:t>Notifications Service (port 8084) — Alertes et notifications</w:t>
      </w:r>
    </w:p>
    <w:p>
      <w:pPr>
        <w:pStyle w:val="ListBullet"/>
      </w:pPr>
      <w:r>
        <w:rPr>
          <w:sz w:val="22"/>
        </w:rPr>
        <w:t>Dashboard Service (port 8085) — Analytics et tableaux de bord</w:t>
      </w:r>
    </w:p>
    <w:p>
      <w:pPr>
        <w:pStyle w:val="ListBullet"/>
      </w:pPr>
      <w:r>
        <w:rPr>
          <w:sz w:val="22"/>
        </w:rPr>
        <w:t>Charges Service (port 8086) — Gestion des paiements</w:t>
      </w:r>
    </w:p>
    <w:p>
      <w:pPr>
        <w:spacing w:before="200" w:after="100"/>
      </w:pPr>
      <w:r>
        <w:rPr>
          <w:b/>
          <w:color w:val="2E75B6"/>
          <w:sz w:val="24"/>
        </w:rPr>
        <w:t>Bases de Données</w:t>
      </w:r>
    </w:p>
    <w:p>
      <w:pPr>
        <w:pStyle w:val="ListBullet"/>
      </w:pPr>
      <w:r>
        <w:rPr>
          <w:sz w:val="22"/>
        </w:rPr>
        <w:t>MongoDB — Stockage des données utilisateurs</w:t>
      </w:r>
    </w:p>
    <w:p>
      <w:pPr>
        <w:pStyle w:val="ListBullet"/>
      </w:pPr>
      <w:r>
        <w:rPr>
          <w:sz w:val="22"/>
        </w:rPr>
        <w:t>PostgreSQL — Base de données Keycloak</w:t>
      </w:r>
    </w:p>
    <w:p>
      <w:pPr>
        <w:pStyle w:val="Heading1"/>
      </w:pPr>
      <w:r>
        <w:rPr>
          <w:b/>
          <w:color w:val="1F497D"/>
        </w:rPr>
        <w:t>3. Fonctionnalités de l'Application</w:t>
      </w:r>
    </w:p>
    <w:p>
      <w:pPr>
        <w:pStyle w:val="Heading2"/>
      </w:pPr>
      <w:r>
        <w:rPr>
          <w:b/>
          <w:color w:val="1F497D"/>
        </w:rPr>
        <w:t>3.1 Authentification et Gestion des Utilisateurs</w:t>
      </w:r>
    </w:p>
    <w:p>
      <w:r>
        <w:rPr>
          <w:b w:val="0"/>
          <w:i w:val="0"/>
          <w:sz w:val="22"/>
        </w:rPr>
        <w:t>Le module d'authentification est géré par Keycloak, une solution d'identité open-source. Il offre une sécurité robuste basée sur les tokens JWT et un contrôle d'accès par rôles (RBAC).</w:t>
      </w:r>
    </w:p>
    <w:p>
      <w:pPr>
        <w:spacing w:before="200" w:after="100"/>
      </w:pPr>
      <w:r>
        <w:rPr>
          <w:b/>
          <w:color w:val="1F497D"/>
          <w:sz w:val="24"/>
        </w:rPr>
        <w:t>Connexion et Gestion des Sessions</w:t>
      </w:r>
    </w:p>
    <w:p>
      <w:pPr>
        <w:pStyle w:val="ListBullet"/>
      </w:pPr>
      <w:r>
        <w:rPr>
          <w:sz w:val="22"/>
        </w:rPr>
        <w:t>Authentification sécurisée via Keycloak OIDC</w:t>
      </w:r>
    </w:p>
    <w:p>
      <w:pPr>
        <w:pStyle w:val="ListBullet"/>
      </w:pPr>
      <w:r>
        <w:rPr>
          <w:sz w:val="22"/>
        </w:rPr>
        <w:t>Access Token JWT (expiration 5 minutes) et Refresh Token (30 minutes)</w:t>
      </w:r>
    </w:p>
    <w:p>
      <w:pPr>
        <w:pStyle w:val="ListBullet"/>
      </w:pPr>
      <w:r>
        <w:rPr>
          <w:sz w:val="22"/>
        </w:rPr>
        <w:t>Renouvellement automatique de session via le refresh token</w:t>
      </w:r>
    </w:p>
    <w:p>
      <w:pPr>
        <w:pStyle w:val="ListBullet"/>
      </w:pPr>
      <w:r>
        <w:rPr>
          <w:sz w:val="22"/>
        </w:rPr>
        <w:t>Déconnexion sécurisée</w:t>
      </w:r>
    </w:p>
    <w:p>
      <w:pPr>
        <w:spacing w:before="200" w:after="100"/>
      </w:pPr>
      <w:r>
        <w:rPr>
          <w:b/>
          <w:color w:val="1F497D"/>
          <w:sz w:val="24"/>
        </w:rPr>
        <w:t>Gestion des Utilisateurs (CRUD)</w:t>
      </w:r>
    </w:p>
    <w:p>
      <w:pPr>
        <w:pStyle w:val="ListBullet"/>
      </w:pPr>
      <w:r>
        <w:rPr>
          <w:sz w:val="22"/>
        </w:rPr>
        <w:t>Création de comptes utilisateurs avec validation des champs</w:t>
      </w:r>
    </w:p>
    <w:p>
      <w:pPr>
        <w:pStyle w:val="ListBullet"/>
      </w:pPr>
      <w:r>
        <w:rPr>
          <w:sz w:val="22"/>
        </w:rPr>
        <w:t>Consultation et modification des profils</w:t>
      </w:r>
    </w:p>
    <w:p>
      <w:pPr>
        <w:pStyle w:val="ListBullet"/>
      </w:pPr>
      <w:r>
        <w:rPr>
          <w:sz w:val="22"/>
        </w:rPr>
        <w:t>Suppression de comptes (admin uniquement)</w:t>
      </w:r>
    </w:p>
    <w:p>
      <w:pPr>
        <w:pStyle w:val="ListBullet"/>
      </w:pPr>
      <w:r>
        <w:rPr>
          <w:sz w:val="22"/>
        </w:rPr>
        <w:t>Recherche et listage des utilisateurs</w:t>
      </w:r>
    </w:p>
    <w:p>
      <w:pPr>
        <w:spacing w:before="200" w:after="100"/>
      </w:pPr>
      <w:r>
        <w:rPr>
          <w:b/>
          <w:color w:val="1F497D"/>
          <w:sz w:val="24"/>
        </w:rPr>
        <w:t>Rôles et Permissions</w:t>
      </w:r>
    </w:p>
    <w:p>
      <w:pPr>
        <w:pStyle w:val="ListBullet"/>
      </w:pPr>
      <w:r>
        <w:rPr>
          <w:sz w:val="22"/>
        </w:rPr>
        <w:t>admin — Accès complet à toutes les fonctionnalités</w:t>
      </w:r>
    </w:p>
    <w:p>
      <w:pPr>
        <w:pStyle w:val="ListBullet"/>
      </w:pPr>
      <w:r>
        <w:rPr>
          <w:sz w:val="22"/>
        </w:rPr>
        <w:t>user — Accès standard</w:t>
      </w:r>
    </w:p>
    <w:p>
      <w:pPr>
        <w:pStyle w:val="ListBullet"/>
      </w:pPr>
      <w:r>
        <w:rPr>
          <w:sz w:val="22"/>
        </w:rPr>
        <w:t>event-organizer — Création et gestion des événements</w:t>
      </w:r>
    </w:p>
    <w:p>
      <w:pPr>
        <w:pStyle w:val="ListBullet"/>
      </w:pPr>
      <w:r>
        <w:rPr>
          <w:sz w:val="22"/>
        </w:rPr>
        <w:t>participant — Participation aux événements</w:t>
      </w:r>
    </w:p>
    <w:p>
      <w:pPr>
        <w:pStyle w:val="Heading2"/>
      </w:pPr>
      <w:r>
        <w:rPr>
          <w:b/>
          <w:color w:val="1F497D"/>
        </w:rPr>
        <w:t>3.2 Gestion des Événements</w:t>
      </w:r>
    </w:p>
    <w:p>
      <w:r>
        <w:rPr>
          <w:b w:val="0"/>
          <w:i w:val="0"/>
          <w:sz w:val="22"/>
        </w:rPr>
        <w:t>Le module de gestion des événements permet aux organisateurs de créer, modifier et suivre le cycle de vie complet de chaque événement.</w:t>
      </w:r>
    </w:p>
    <w:p>
      <w:pPr>
        <w:spacing w:before="200" w:after="100"/>
      </w:pPr>
      <w:r>
        <w:rPr>
          <w:b/>
          <w:color w:val="1F497D"/>
          <w:sz w:val="24"/>
        </w:rPr>
        <w:t>Liste et Recherche des Événements</w:t>
      </w:r>
    </w:p>
    <w:p>
      <w:pPr>
        <w:pStyle w:val="ListBullet"/>
      </w:pPr>
      <w:r>
        <w:rPr>
          <w:sz w:val="22"/>
        </w:rPr>
        <w:t>Affichage tabulaire de tous les événements</w:t>
      </w:r>
    </w:p>
    <w:p>
      <w:pPr>
        <w:pStyle w:val="ListBullet"/>
      </w:pPr>
      <w:r>
        <w:rPr>
          <w:sz w:val="22"/>
        </w:rPr>
        <w:t>Filtrage par catégorie et recherche textuelle</w:t>
      </w:r>
    </w:p>
    <w:p>
      <w:pPr>
        <w:pStyle w:val="ListBullet"/>
      </w:pPr>
      <w:r>
        <w:rPr>
          <w:sz w:val="22"/>
        </w:rPr>
        <w:t>Actions rapides : voir, modifier, supprimer</w:t>
      </w:r>
    </w:p>
    <w:p>
      <w:pPr>
        <w:spacing w:before="200" w:after="100"/>
      </w:pPr>
      <w:r>
        <w:rPr>
          <w:b/>
          <w:color w:val="1F497D"/>
          <w:sz w:val="24"/>
        </w:rPr>
        <w:t>Création et Modification d'un Événement</w:t>
      </w:r>
    </w:p>
    <w:p>
      <w:pPr>
        <w:pStyle w:val="ListBullet"/>
      </w:pPr>
      <w:r>
        <w:rPr>
          <w:sz w:val="22"/>
        </w:rPr>
        <w:t>Formulaire réactif avec validation (titre, description, lieu, dates, nombre max de participants)</w:t>
      </w:r>
    </w:p>
    <w:p>
      <w:pPr>
        <w:pStyle w:val="ListBullet"/>
      </w:pPr>
      <w:r>
        <w:rPr>
          <w:sz w:val="22"/>
        </w:rPr>
        <w:t>Validation des dates (date de fin &gt; date de début)</w:t>
      </w:r>
    </w:p>
    <w:p>
      <w:pPr>
        <w:pStyle w:val="ListBullet"/>
      </w:pPr>
      <w:r>
        <w:rPr>
          <w:sz w:val="22"/>
        </w:rPr>
        <w:t>Catégories : CONFERENCE, WORKSHOP, MEETUP, SEMINAR</w:t>
      </w:r>
    </w:p>
    <w:p>
      <w:pPr>
        <w:pStyle w:val="ListBullet"/>
      </w:pPr>
      <w:r>
        <w:rPr>
          <w:sz w:val="22"/>
        </w:rPr>
        <w:t>Statuts : DRAFT, PUBLISHED, CANCELLED, COMPLETED</w:t>
      </w:r>
    </w:p>
    <w:p>
      <w:pPr>
        <w:pStyle w:val="ListBullet"/>
      </w:pPr>
      <w:r>
        <w:rPr>
          <w:sz w:val="22"/>
        </w:rPr>
        <w:t>Workflow de statut géré automatiquement</w:t>
      </w:r>
    </w:p>
    <w:p>
      <w:pPr>
        <w:spacing w:before="200" w:after="100"/>
      </w:pPr>
      <w:r>
        <w:rPr>
          <w:b/>
          <w:color w:val="1F497D"/>
          <w:sz w:val="24"/>
        </w:rPr>
        <w:t>Suppression</w:t>
      </w:r>
    </w:p>
    <w:p>
      <w:pPr>
        <w:pStyle w:val="ListBullet"/>
      </w:pPr>
      <w:r>
        <w:rPr>
          <w:sz w:val="22"/>
        </w:rPr>
        <w:t>Confirmation avant suppression</w:t>
      </w:r>
    </w:p>
    <w:p>
      <w:pPr>
        <w:pStyle w:val="ListBullet"/>
      </w:pPr>
      <w:r>
        <w:rPr>
          <w:sz w:val="22"/>
        </w:rPr>
        <w:t>Rafraîchissement automatique de la liste</w:t>
      </w:r>
    </w:p>
    <w:p>
      <w:pPr>
        <w:pStyle w:val="Heading2"/>
      </w:pPr>
      <w:r>
        <w:rPr>
          <w:b/>
          <w:color w:val="1F497D"/>
        </w:rPr>
        <w:t>3.3 Gestion des Inscriptions</w:t>
      </w:r>
    </w:p>
    <w:p>
      <w:r>
        <w:rPr>
          <w:b w:val="0"/>
          <w:i w:val="0"/>
          <w:sz w:val="22"/>
        </w:rPr>
        <w:t>Ce module gère l'ensemble du workflow d'inscription des participants aux événements publiés.</w:t>
      </w:r>
    </w:p>
    <w:p>
      <w:pPr>
        <w:pStyle w:val="ListBullet"/>
      </w:pPr>
      <w:r>
        <w:rPr>
          <w:sz w:val="22"/>
        </w:rPr>
        <w:t>Création d'une inscription : sélection de l'événement (parmi les événements publiés) et du participant</w:t>
      </w:r>
    </w:p>
    <w:p>
      <w:pPr>
        <w:pStyle w:val="ListBullet"/>
      </w:pPr>
      <w:r>
        <w:rPr>
          <w:sz w:val="22"/>
        </w:rPr>
        <w:t>Statuts d'inscription : PENDING, CONFIRMED, WAITLISTED, CANCELLED</w:t>
      </w:r>
    </w:p>
    <w:p>
      <w:pPr>
        <w:pStyle w:val="ListBullet"/>
      </w:pPr>
      <w:r>
        <w:rPr>
          <w:sz w:val="22"/>
        </w:rPr>
        <w:t>Prévention des doublons (code erreur 409)</w:t>
      </w:r>
    </w:p>
    <w:p>
      <w:pPr>
        <w:pStyle w:val="ListBullet"/>
      </w:pPr>
      <w:r>
        <w:rPr>
          <w:sz w:val="22"/>
        </w:rPr>
        <w:t>Modification du statut d'une inscription existante</w:t>
      </w:r>
    </w:p>
    <w:p>
      <w:pPr>
        <w:pStyle w:val="ListBullet"/>
      </w:pPr>
      <w:r>
        <w:rPr>
          <w:sz w:val="22"/>
        </w:rPr>
        <w:t>Date d'inscription enregistrée automatiquement</w:t>
      </w:r>
    </w:p>
    <w:p>
      <w:pPr>
        <w:pStyle w:val="ListBullet"/>
      </w:pPr>
      <w:r>
        <w:rPr>
          <w:sz w:val="22"/>
        </w:rPr>
        <w:t>Suppression avec confirmation</w:t>
      </w:r>
    </w:p>
    <w:p>
      <w:pPr>
        <w:pStyle w:val="Heading2"/>
      </w:pPr>
      <w:r>
        <w:rPr>
          <w:b/>
          <w:color w:val="1F497D"/>
        </w:rPr>
        <w:t>3.4 Système de Notifications</w:t>
      </w:r>
    </w:p>
    <w:p>
      <w:r>
        <w:rPr>
          <w:b w:val="0"/>
          <w:i w:val="0"/>
          <w:sz w:val="22"/>
        </w:rPr>
        <w:t>Le système de notifications informe les utilisateurs en temps réel des événements importants via plusieurs canaux de communication.</w:t>
      </w:r>
    </w:p>
    <w:p>
      <w:pPr>
        <w:pStyle w:val="ListBullet"/>
      </w:pPr>
      <w:r>
        <w:rPr>
          <w:sz w:val="22"/>
        </w:rPr>
        <w:t>Notifications push via Firebase Cloud Messaging (FCM)</w:t>
      </w:r>
    </w:p>
    <w:p>
      <w:pPr>
        <w:pStyle w:val="ListBullet"/>
      </w:pPr>
      <w:r>
        <w:rPr>
          <w:sz w:val="22"/>
        </w:rPr>
        <w:t>Support des notifications par email</w:t>
      </w:r>
    </w:p>
    <w:p>
      <w:pPr>
        <w:pStyle w:val="ListBullet"/>
      </w:pPr>
      <w:r>
        <w:rPr>
          <w:sz w:val="22"/>
        </w:rPr>
        <w:t>Support des notifications SMS</w:t>
      </w:r>
    </w:p>
    <w:p>
      <w:pPr>
        <w:pStyle w:val="ListBullet"/>
      </w:pPr>
      <w:r>
        <w:rPr>
          <w:sz w:val="22"/>
        </w:rPr>
        <w:t>Intégration avec Apache Kafka pour les événements asynchrones</w:t>
      </w:r>
    </w:p>
    <w:p>
      <w:pPr>
        <w:pStyle w:val="ListBullet"/>
      </w:pPr>
      <w:r>
        <w:rPr>
          <w:sz w:val="22"/>
        </w:rPr>
        <w:t>Configuration via scripts PowerShell automatisés</w:t>
      </w:r>
    </w:p>
    <w:p>
      <w:pPr>
        <w:pStyle w:val="Heading2"/>
      </w:pPr>
      <w:r>
        <w:rPr>
          <w:b/>
          <w:color w:val="1F497D"/>
        </w:rPr>
        <w:t>3.5 Tableau de Bord Intelligent (IA)</w:t>
      </w:r>
    </w:p>
    <w:p>
      <w:r>
        <w:rPr>
          <w:b w:val="0"/>
          <w:i w:val="0"/>
          <w:sz w:val="22"/>
        </w:rPr>
        <w:t>Le tableau de bord intègre des modèles d'intelligence artificielle pour analyser les données en temps réel et prédire les tendances.</w:t>
      </w:r>
    </w:p>
    <w:p>
      <w:pPr>
        <w:spacing w:before="200" w:after="100"/>
      </w:pPr>
      <w:r>
        <w:rPr>
          <w:b/>
          <w:color w:val="1F497D"/>
          <w:sz w:val="24"/>
        </w:rPr>
        <w:t>Visualisations</w:t>
      </w:r>
    </w:p>
    <w:p>
      <w:pPr>
        <w:pStyle w:val="ListBullet"/>
      </w:pPr>
      <w:r>
        <w:rPr>
          <w:sz w:val="22"/>
        </w:rPr>
        <w:t>Graphique de performance mensuel (3 onglets : Accounts, Purchases, Sessions)</w:t>
      </w:r>
    </w:p>
    <w:p>
      <w:pPr>
        <w:pStyle w:val="ListBullet"/>
      </w:pPr>
      <w:r>
        <w:rPr>
          <w:sz w:val="22"/>
        </w:rPr>
        <w:t>Cartes métriques : inscriptions totales, ventes quotidiennes, événements terminés</w:t>
      </w:r>
    </w:p>
    <w:p>
      <w:pPr>
        <w:pStyle w:val="ListBullet"/>
      </w:pPr>
      <w:r>
        <w:rPr>
          <w:sz w:val="22"/>
        </w:rPr>
        <w:t>Compteurs en temps réel : événements, utilisateurs, inscriptions</w:t>
      </w:r>
    </w:p>
    <w:p>
      <w:pPr>
        <w:spacing w:before="200" w:after="100"/>
      </w:pPr>
      <w:r>
        <w:rPr>
          <w:b/>
          <w:color w:val="1F497D"/>
          <w:sz w:val="24"/>
        </w:rPr>
        <w:t>Fonctionnalités IA</w:t>
      </w:r>
    </w:p>
    <w:p>
      <w:pPr>
        <w:pStyle w:val="ListBullet"/>
      </w:pPr>
      <w:r>
        <w:rPr>
          <w:sz w:val="22"/>
        </w:rPr>
        <w:t>Prédictions de tendances par régression linéaire (projection sur 3 mois)</w:t>
      </w:r>
    </w:p>
    <w:p>
      <w:pPr>
        <w:pStyle w:val="ListBullet"/>
      </w:pPr>
      <w:r>
        <w:rPr>
          <w:sz w:val="22"/>
        </w:rPr>
        <w:t>Score de santé du système calculé sur 100 points (ratio inscriptions/événements, taux de complétion, croissance utilisateurs)</w:t>
      </w:r>
    </w:p>
    <w:p>
      <w:pPr>
        <w:pStyle w:val="ListBullet"/>
      </w:pPr>
      <w:r>
        <w:rPr>
          <w:sz w:val="22"/>
        </w:rPr>
        <w:t>Recommandations intelligentes automatiques (alertes marketing, baisse d'engagement...)</w:t>
      </w:r>
    </w:p>
    <w:p>
      <w:pPr>
        <w:pStyle w:val="ListBullet"/>
      </w:pPr>
      <w:r>
        <w:rPr>
          <w:sz w:val="22"/>
        </w:rPr>
        <w:t>Détection d'anomalies dans les données</w:t>
      </w:r>
    </w:p>
    <w:p>
      <w:pPr>
        <w:spacing w:before="200" w:after="100"/>
      </w:pPr>
      <w:r>
        <w:rPr>
          <w:b/>
          <w:color w:val="1F497D"/>
          <w:sz w:val="24"/>
        </w:rPr>
        <w:t>Statuts du Score de Santé</w:t>
      </w:r>
    </w:p>
    <w:p>
      <w:pPr>
        <w:pStyle w:val="ListBullet"/>
      </w:pPr>
      <w:r>
        <w:rPr>
          <w:sz w:val="22"/>
        </w:rPr>
        <w:t>Excellent (80-100) — Tout va bien</w:t>
      </w:r>
    </w:p>
    <w:p>
      <w:pPr>
        <w:pStyle w:val="ListBullet"/>
      </w:pPr>
      <w:r>
        <w:rPr>
          <w:sz w:val="22"/>
        </w:rPr>
        <w:t>Good (60-79) — Performance satisfaisante</w:t>
      </w:r>
    </w:p>
    <w:p>
      <w:pPr>
        <w:pStyle w:val="ListBullet"/>
      </w:pPr>
      <w:r>
        <w:rPr>
          <w:sz w:val="22"/>
        </w:rPr>
        <w:t>Fair (40-59) — Améliorations nécessaires</w:t>
      </w:r>
    </w:p>
    <w:p>
      <w:pPr>
        <w:pStyle w:val="ListBullet"/>
      </w:pPr>
      <w:r>
        <w:rPr>
          <w:sz w:val="22"/>
        </w:rPr>
        <w:t>Poor (0-39) — Action urgente requise</w:t>
      </w:r>
    </w:p>
    <w:p>
      <w:pPr>
        <w:pStyle w:val="Heading2"/>
      </w:pPr>
      <w:r>
        <w:rPr>
          <w:b/>
          <w:color w:val="1F497D"/>
        </w:rPr>
        <w:t>3.6 Gestion des Charges et Prédiction IA des Coûts</w:t>
      </w:r>
    </w:p>
    <w:p>
      <w:r>
        <w:rPr>
          <w:b w:val="0"/>
          <w:i w:val="0"/>
          <w:sz w:val="22"/>
        </w:rPr>
        <w:t>Le module de gestion des charges permet de planifier et d'approuver les dépenses liées aux événements, avec une assistance IA pour la prédiction automatique des coûts.</w:t>
      </w:r>
    </w:p>
    <w:p>
      <w:pPr>
        <w:spacing w:before="200" w:after="100"/>
      </w:pPr>
      <w:r>
        <w:rPr>
          <w:b/>
          <w:color w:val="1F497D"/>
          <w:sz w:val="24"/>
        </w:rPr>
        <w:t>Workflow de Prédiction</w:t>
      </w:r>
    </w:p>
    <w:p>
      <w:pPr>
        <w:pStyle w:val="ListBullet"/>
      </w:pPr>
      <w:r>
        <w:rPr>
          <w:sz w:val="22"/>
        </w:rPr>
        <w:t>Étape 1 — Saisie des métriques de l'événement (type, nombre de participants, durée)</w:t>
      </w:r>
    </w:p>
    <w:p>
      <w:pPr>
        <w:pStyle w:val="ListBullet"/>
      </w:pPr>
      <w:r>
        <w:rPr>
          <w:sz w:val="22"/>
        </w:rPr>
        <w:t>Étape 2 — Prédiction automatique des coûts par IA</w:t>
      </w:r>
    </w:p>
    <w:p>
      <w:pPr>
        <w:pStyle w:val="ListBullet"/>
      </w:pPr>
      <w:r>
        <w:rPr>
          <w:sz w:val="22"/>
        </w:rPr>
        <w:t>Étape 3 — Répartition détaillée des coûts par catégorie</w:t>
      </w:r>
    </w:p>
    <w:p>
      <w:pPr>
        <w:pStyle w:val="ListBullet"/>
      </w:pPr>
      <w:r>
        <w:rPr>
          <w:sz w:val="22"/>
        </w:rPr>
        <w:t>Étape 4 — Décision de mode de paiement (ONLINE, ONSITE, HYBRID)</w:t>
      </w:r>
    </w:p>
    <w:p>
      <w:pPr>
        <w:pStyle w:val="ListBullet"/>
      </w:pPr>
      <w:r>
        <w:rPr>
          <w:sz w:val="22"/>
        </w:rPr>
        <w:t>Étape 5 — Approbation admin pour les montants élevés</w:t>
      </w:r>
    </w:p>
    <w:p>
      <w:pPr>
        <w:spacing w:before="200" w:after="100"/>
      </w:pPr>
      <w:r>
        <w:rPr>
          <w:b/>
          <w:color w:val="1F497D"/>
          <w:sz w:val="24"/>
        </w:rPr>
        <w:t>Équipements Gérés</w:t>
      </w:r>
    </w:p>
    <w:p>
      <w:pPr>
        <w:pStyle w:val="ListBullet"/>
      </w:pPr>
      <w:r>
        <w:rPr>
          <w:sz w:val="22"/>
        </w:rPr>
        <w:t>Matériels : stylos, PC portables, projecteurs, tables, chaises, câbles HDMI, microphones</w:t>
      </w:r>
    </w:p>
    <w:p>
      <w:pPr>
        <w:pStyle w:val="ListBullet"/>
      </w:pPr>
      <w:r>
        <w:rPr>
          <w:sz w:val="22"/>
        </w:rPr>
        <w:t>Statuts des charges : PENDING, APPROVED, PAID, REJECTED</w:t>
      </w:r>
    </w:p>
    <w:p>
      <w:pPr>
        <w:pStyle w:val="Heading1"/>
      </w:pPr>
      <w:r>
        <w:rPr>
          <w:b/>
          <w:color w:val="1F497D"/>
        </w:rPr>
        <w:t>4. Sécurité</w:t>
      </w:r>
    </w:p>
    <w:p>
      <w:pPr>
        <w:pStyle w:val="ListBullet"/>
      </w:pPr>
      <w:r>
        <w:rPr>
          <w:sz w:val="22"/>
        </w:rPr>
        <w:t>Tous les endpoints sont sécurisés via Keycloak OIDC</w:t>
      </w:r>
    </w:p>
    <w:p>
      <w:pPr>
        <w:pStyle w:val="ListBullet"/>
      </w:pPr>
      <w:r>
        <w:rPr>
          <w:sz w:val="22"/>
        </w:rPr>
        <w:t>Tokens JWT avec expiration courte et renouvellement automatique</w:t>
      </w:r>
    </w:p>
    <w:p>
      <w:pPr>
        <w:pStyle w:val="ListBullet"/>
      </w:pPr>
      <w:r>
        <w:rPr>
          <w:sz w:val="22"/>
        </w:rPr>
        <w:t>Contrôle d'accès basé sur les rôles (RBAC) sur chaque endpoint</w:t>
      </w:r>
    </w:p>
    <w:p>
      <w:pPr>
        <w:pStyle w:val="ListBullet"/>
      </w:pPr>
      <w:r>
        <w:rPr>
          <w:sz w:val="22"/>
        </w:rPr>
        <w:t>Validation des données côté serveur (email, mot de passe, unicité username)</w:t>
      </w:r>
    </w:p>
    <w:p>
      <w:pPr>
        <w:pStyle w:val="ListBullet"/>
      </w:pPr>
      <w:r>
        <w:rPr>
          <w:sz w:val="22"/>
        </w:rPr>
        <w:t>Conteneurisation Docker pour l'isolation des services</w:t>
      </w:r>
    </w:p>
    <w:p>
      <w:pPr>
        <w:pStyle w:val="Heading1"/>
      </w:pPr>
      <w:r>
        <w:rPr>
          <w:b/>
          <w:color w:val="1F497D"/>
        </w:rPr>
        <w:t>5. Stack Technologique</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r>
              <w:rPr>
                <w:b/>
                <w:color w:val="FFFFFF"/>
              </w:rPr>
              <w:t>Couche</w:t>
            </w:r>
          </w:p>
        </w:tc>
        <w:tc>
          <w:tcPr>
            <w:tcW w:type="dxa" w:w="4703"/>
            <w:shd w:val="clear" w:color="auto" w:fill="2E75B6"/>
          </w:tcPr>
          <w:p>
            <w:r>
              <w:rPr>
                <w:b/>
                <w:color w:val="FFFFFF"/>
              </w:rPr>
              <w:t>Technologies</w:t>
            </w:r>
          </w:p>
        </w:tc>
      </w:tr>
      <w:tr>
        <w:tc>
          <w:tcPr>
            <w:tcW w:type="dxa" w:w="4703"/>
          </w:tcPr>
          <w:p>
            <w:r>
              <w:t>Backend</w:t>
            </w:r>
          </w:p>
        </w:tc>
        <w:tc>
          <w:tcPr>
            <w:tcW w:type="dxa" w:w="4703"/>
          </w:tcPr>
          <w:p>
            <w:r>
              <w:t>Quarkus (Java 21), Spring Boot, Spring Cloud Gateway, Eureka</w:t>
            </w:r>
          </w:p>
        </w:tc>
      </w:tr>
      <w:tr>
        <w:tc>
          <w:tcPr>
            <w:tcW w:type="dxa" w:w="4703"/>
          </w:tcPr>
          <w:p>
            <w:r>
              <w:t>Frontend</w:t>
            </w:r>
          </w:p>
        </w:tc>
        <w:tc>
          <w:tcPr>
            <w:tcW w:type="dxa" w:w="4703"/>
          </w:tcPr>
          <w:p>
            <w:r>
              <w:t>Angular (BackOffice)</w:t>
            </w:r>
          </w:p>
        </w:tc>
      </w:tr>
      <w:tr>
        <w:tc>
          <w:tcPr>
            <w:tcW w:type="dxa" w:w="4703"/>
          </w:tcPr>
          <w:p>
            <w:r>
              <w:t>Authentification</w:t>
            </w:r>
          </w:p>
        </w:tc>
        <w:tc>
          <w:tcPr>
            <w:tcW w:type="dxa" w:w="4703"/>
          </w:tcPr>
          <w:p>
            <w:r>
              <w:t>Keycloak (OIDC / JWT)</w:t>
            </w:r>
          </w:p>
        </w:tc>
      </w:tr>
      <w:tr>
        <w:tc>
          <w:tcPr>
            <w:tcW w:type="dxa" w:w="4703"/>
          </w:tcPr>
          <w:p>
            <w:r>
              <w:t>Bases de données</w:t>
            </w:r>
          </w:p>
        </w:tc>
        <w:tc>
          <w:tcPr>
            <w:tcW w:type="dxa" w:w="4703"/>
          </w:tcPr>
          <w:p>
            <w:r>
              <w:t>MongoDB, PostgreSQL</w:t>
            </w:r>
          </w:p>
        </w:tc>
      </w:tr>
      <w:tr>
        <w:tc>
          <w:tcPr>
            <w:tcW w:type="dxa" w:w="4703"/>
          </w:tcPr>
          <w:p>
            <w:r>
              <w:t>Messaging</w:t>
            </w:r>
          </w:p>
        </w:tc>
        <w:tc>
          <w:tcPr>
            <w:tcW w:type="dxa" w:w="4703"/>
          </w:tcPr>
          <w:p>
            <w:r>
              <w:t>Apache Kafka</w:t>
            </w:r>
          </w:p>
        </w:tc>
      </w:tr>
      <w:tr>
        <w:tc>
          <w:tcPr>
            <w:tcW w:type="dxa" w:w="4703"/>
          </w:tcPr>
          <w:p>
            <w:r>
              <w:t>Notifications Push</w:t>
            </w:r>
          </w:p>
        </w:tc>
        <w:tc>
          <w:tcPr>
            <w:tcW w:type="dxa" w:w="4703"/>
          </w:tcPr>
          <w:p>
            <w:r>
              <w:t>Firebase Cloud Messaging (FCM)</w:t>
            </w:r>
          </w:p>
        </w:tc>
      </w:tr>
      <w:tr>
        <w:tc>
          <w:tcPr>
            <w:tcW w:type="dxa" w:w="4703"/>
          </w:tcPr>
          <w:p>
            <w:r>
              <w:t>Infrastructure</w:t>
            </w:r>
          </w:p>
        </w:tc>
        <w:tc>
          <w:tcPr>
            <w:tcW w:type="dxa" w:w="4703"/>
          </w:tcPr>
          <w:p>
            <w:r>
              <w:t>Docker, Docker Compose</w:t>
            </w:r>
          </w:p>
        </w:tc>
      </w:tr>
      <w:tr>
        <w:tc>
          <w:tcPr>
            <w:tcW w:type="dxa" w:w="4703"/>
          </w:tcPr>
          <w:p>
            <w:r>
              <w:t>API Documentation</w:t>
            </w:r>
          </w:p>
        </w:tc>
        <w:tc>
          <w:tcPr>
            <w:tcW w:type="dxa" w:w="4703"/>
          </w:tcPr>
          <w:p>
            <w:r>
              <w:t>Swagger UI (OpenAPI)</w:t>
            </w:r>
          </w:p>
        </w:tc>
      </w:tr>
    </w:tbl>
    <w:p/>
    <w:p>
      <w:pPr>
        <w:pStyle w:val="Heading1"/>
      </w:pPr>
      <w:r>
        <w:rPr>
          <w:b/>
          <w:color w:val="1F497D"/>
        </w:rPr>
        <w:t>6. Conclusion</w:t>
      </w:r>
    </w:p>
    <w:p>
      <w:r>
        <w:rPr>
          <w:b w:val="0"/>
          <w:i w:val="0"/>
          <w:sz w:val="22"/>
        </w:rPr>
        <w:t>L'application de Gestion d'Événements constitue une solution web complète et moderne, s'appuyant sur une architecture microservices robuste. Elle couvre l'ensemble du cycle de vie d'un événement — de sa création à sa clôture — tout en intégrant des fonctionnalités avancées d'intelligence artificielle pour l'analyse prédictive et la gestion intelligente des coûts. La sécurité, la scalabilité et la maintenabilité ont été des priorités tout au long du développement.</w:t>
      </w:r>
    </w:p>
    <w:p>
      <w:r>
        <w:br w:type="page"/>
      </w:r>
    </w:p>
    <w:p>
      <w:pPr>
        <w:pStyle w:val="Heading1"/>
      </w:pPr>
      <w:r>
        <w:rPr>
          <w:b/>
          <w:color w:val="1F497D"/>
        </w:rPr>
        <w:t>4. Étude Approfondie des Modèles d'Intelligence Artificielle</w:t>
      </w:r>
    </w:p>
    <w:p>
      <w:r>
        <w:rPr>
          <w:sz w:val="22"/>
        </w:rPr>
        <w:t>L'application intègre trois modèles d'IA complémentaires, développés en Python et transposés en Java dans les microservices. Chaque modèle répond à un besoin fonctionnel distinct : prédiction des coûts pour les petits événements, prédiction avancée pour les grands événements, et analyse temps réel du tableau de bord.</w:t>
      </w:r>
    </w:p>
    <w:p/>
    <w:p>
      <w:pPr>
        <w:pStyle w:val="Heading2"/>
      </w:pPr>
      <w:r>
        <w:rPr>
          <w:b/>
          <w:color w:val="2E75B6"/>
        </w:rPr>
        <w:t>4.1  Modèle 1 — Régression Linéaire Multiple</w:t>
      </w:r>
    </w:p>
    <w:p>
      <w:pPr>
        <w:spacing w:before="160" w:after="80"/>
      </w:pPr>
      <w:r>
        <w:rPr>
          <w:b/>
          <w:color w:val="1F497D"/>
          <w:sz w:val="24"/>
        </w:rPr>
        <w:t>Objectif et contexte</w:t>
      </w:r>
    </w:p>
    <w:p>
      <w:r>
        <w:rPr>
          <w:sz w:val="22"/>
        </w:rPr>
        <w:t>Ce modèle prédit le coût total d'un événement dont le nombre de participants est inférieur ou égal à 100. Il est implémenté dans le service Java AIChargePredictionService et repose sur une régression linéaire multiple avec prétraitement des variables catégorielles (OneHotEncoder) et normalisation des variables numériques (StandardScaler).</w:t>
      </w:r>
    </w:p>
    <w:p>
      <w:pPr>
        <w:spacing w:before="160" w:after="80"/>
      </w:pPr>
      <w:r>
        <w:rPr>
          <w:b/>
          <w:color w:val="1F497D"/>
          <w:sz w:val="24"/>
        </w:rPr>
        <w:t>Variables d'entrée (features)</w:t>
      </w:r>
    </w:p>
    <w:p>
      <w:pPr>
        <w:pStyle w:val="ListBullet"/>
      </w:pPr>
      <w:r>
        <w:rPr>
          <w:sz w:val="22"/>
        </w:rPr>
        <w:t>attendees — Nombre de participants (numérique)</w:t>
      </w:r>
    </w:p>
    <w:p>
      <w:pPr>
        <w:pStyle w:val="ListBullet"/>
      </w:pPr>
      <w:r>
        <w:rPr>
          <w:sz w:val="22"/>
        </w:rPr>
        <w:t>duration_hours — Durée en heures (numérique)</w:t>
      </w:r>
    </w:p>
    <w:p>
      <w:pPr>
        <w:pStyle w:val="ListBullet"/>
      </w:pPr>
      <w:r>
        <w:rPr>
          <w:sz w:val="22"/>
        </w:rPr>
        <w:t>catering — Présence restauration (0/1)</w:t>
      </w:r>
    </w:p>
    <w:p>
      <w:pPr>
        <w:pStyle w:val="ListBullet"/>
      </w:pPr>
      <w:r>
        <w:rPr>
          <w:sz w:val="22"/>
        </w:rPr>
        <w:t>equipment — Présence équipements (0/1)</w:t>
      </w:r>
    </w:p>
    <w:p>
      <w:pPr>
        <w:pStyle w:val="ListBullet"/>
      </w:pPr>
      <w:r>
        <w:rPr>
          <w:sz w:val="22"/>
        </w:rPr>
        <w:t>city_multiplier — Coefficient géographique de la ville (numérique)</w:t>
      </w:r>
    </w:p>
    <w:p>
      <w:pPr>
        <w:pStyle w:val="ListBullet"/>
      </w:pPr>
      <w:r>
        <w:rPr>
          <w:sz w:val="22"/>
        </w:rPr>
        <w:t>event_type — Type d'événement : CONFERENCE, WORKSHOP, MEETUP, SEMINAR (catégoriel)</w:t>
      </w:r>
    </w:p>
    <w:p>
      <w:pPr>
        <w:pStyle w:val="ListBullet"/>
      </w:pPr>
      <w:r>
        <w:rPr>
          <w:sz w:val="22"/>
        </w:rPr>
        <w:t>location — Lieu : venue / online / outdoor (catégoriel)</w:t>
      </w:r>
    </w:p>
    <w:p>
      <w:pPr>
        <w:spacing w:before="160" w:after="80"/>
      </w:pPr>
      <w:r>
        <w:rPr>
          <w:b/>
          <w:color w:val="1F497D"/>
          <w:sz w:val="24"/>
        </w:rPr>
        <w:t>Formule de calcul des coûts (logique Java transposée)</w:t>
      </w:r>
    </w:p>
    <w:p>
      <w:r>
        <w:rPr>
          <w:sz w:val="22"/>
        </w:rPr>
        <w:t>Le coût total est décomposé en sept composantes, chacune calculée selon une règle métier précise :</w:t>
      </w:r>
    </w:p>
    <w:p>
      <w:pPr>
        <w:pStyle w:val="ListBullet"/>
      </w:pPr>
      <w:r>
        <w:rPr>
          <w:sz w:val="22"/>
        </w:rPr>
        <w:t>Venue : baseCost × multiplicateurVille × duréeHeures × facteurTaille (surface = participants × m²/type)</w:t>
      </w:r>
    </w:p>
    <w:p>
      <w:pPr>
        <w:pStyle w:val="ListBullet"/>
      </w:pPr>
      <w:r>
        <w:rPr>
          <w:sz w:val="22"/>
        </w:rPr>
        <w:t>Catering : coûtParPersonne × participants × (×1.5 si durée &gt; 4h)</w:t>
      </w:r>
    </w:p>
    <w:p>
      <w:pPr>
        <w:pStyle w:val="ListBullet"/>
      </w:pPr>
      <w:r>
        <w:rPr>
          <w:sz w:val="22"/>
        </w:rPr>
        <w:t>Équipements : coûtFixe × multiplicateurVille × (×0.3 si online)</w:t>
      </w:r>
    </w:p>
    <w:p>
      <w:pPr>
        <w:pStyle w:val="ListBullet"/>
      </w:pPr>
      <w:r>
        <w:rPr>
          <w:sz w:val="22"/>
        </w:rPr>
        <w:t>Personnel (staffing) : tarifHoraire × (durée × participants / 50) × multiplicateurVille</w:t>
      </w:r>
    </w:p>
    <w:p>
      <w:pPr>
        <w:pStyle w:val="ListBullet"/>
      </w:pPr>
      <w:r>
        <w:rPr>
          <w:sz w:val="22"/>
        </w:rPr>
        <w:t>Marketing : budget × ln(participants+1) / ln(100)  — loi logarithmique</w:t>
      </w:r>
    </w:p>
    <w:p>
      <w:pPr>
        <w:pStyle w:val="ListBullet"/>
      </w:pPr>
      <w:r>
        <w:rPr>
          <w:sz w:val="22"/>
        </w:rPr>
        <w:t>Assurance : montant fixe × multiplicateurVille</w:t>
      </w:r>
    </w:p>
    <w:p>
      <w:pPr>
        <w:pStyle w:val="ListBullet"/>
      </w:pPr>
      <w:r>
        <w:rPr>
          <w:sz w:val="22"/>
        </w:rPr>
        <w:t>Divers (misc) : 10% du sous-total</w:t>
      </w:r>
    </w:p>
    <w:p>
      <w:pPr>
        <w:spacing w:before="160" w:after="80"/>
      </w:pPr>
      <w:r>
        <w:rPr>
          <w:b/>
          <w:color w:val="1F497D"/>
          <w:sz w:val="24"/>
        </w:rPr>
        <w:t>Multiplicateurs géographiques</w:t>
      </w:r>
    </w:p>
    <w:p>
      <w:r>
        <w:rPr>
          <w:sz w:val="22"/>
        </w:rPr>
        <w:t>Les coûts sont ajustés en fonction de la ville d'organisation :</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b/>
                <w:color w:val="FFFFFF"/>
              </w:rPr>
              <w:t>Ville</w:t>
            </w:r>
          </w:p>
        </w:tc>
        <w:tc>
          <w:tcPr>
            <w:tcW w:type="dxa" w:w="4703"/>
            <w:shd w:val="clear" w:color="auto" w:fill="1F497D"/>
          </w:tcPr>
          <w:p>
            <w:r>
              <w:rPr>
                <w:b/>
                <w:color w:val="FFFFFF"/>
              </w:rPr>
              <w:t>Multiplicateur</w:t>
            </w:r>
          </w:p>
        </w:tc>
      </w:tr>
      <w:tr>
        <w:tc>
          <w:tcPr>
            <w:tcW w:type="dxa" w:w="4703"/>
          </w:tcPr>
          <w:p>
            <w:r>
              <w:t>Paris</w:t>
            </w:r>
          </w:p>
        </w:tc>
        <w:tc>
          <w:tcPr>
            <w:tcW w:type="dxa" w:w="4703"/>
          </w:tcPr>
          <w:p>
            <w:r>
              <w:t>×1.40</w:t>
            </w:r>
          </w:p>
        </w:tc>
      </w:tr>
      <w:tr>
        <w:tc>
          <w:tcPr>
            <w:tcW w:type="dxa" w:w="4703"/>
          </w:tcPr>
          <w:p>
            <w:r>
              <w:t>Nice</w:t>
            </w:r>
          </w:p>
        </w:tc>
        <w:tc>
          <w:tcPr>
            <w:tcW w:type="dxa" w:w="4703"/>
          </w:tcPr>
          <w:p>
            <w:r>
              <w:t>×1.30</w:t>
            </w:r>
          </w:p>
        </w:tc>
      </w:tr>
      <w:tr>
        <w:tc>
          <w:tcPr>
            <w:tcW w:type="dxa" w:w="4703"/>
          </w:tcPr>
          <w:p>
            <w:r>
              <w:t>Lyon</w:t>
            </w:r>
          </w:p>
        </w:tc>
        <w:tc>
          <w:tcPr>
            <w:tcW w:type="dxa" w:w="4703"/>
          </w:tcPr>
          <w:p>
            <w:r>
              <w:t>×1.20</w:t>
            </w:r>
          </w:p>
        </w:tc>
      </w:tr>
      <w:tr>
        <w:tc>
          <w:tcPr>
            <w:tcW w:type="dxa" w:w="4703"/>
          </w:tcPr>
          <w:p>
            <w:r>
              <w:t>Strasbourg</w:t>
            </w:r>
          </w:p>
        </w:tc>
        <w:tc>
          <w:tcPr>
            <w:tcW w:type="dxa" w:w="4703"/>
          </w:tcPr>
          <w:p>
            <w:r>
              <w:t>×1.15</w:t>
            </w:r>
          </w:p>
        </w:tc>
      </w:tr>
      <w:tr>
        <w:tc>
          <w:tcPr>
            <w:tcW w:type="dxa" w:w="4703"/>
          </w:tcPr>
          <w:p>
            <w:r>
              <w:t>Marseille / Nantes / Bordeaux</w:t>
            </w:r>
          </w:p>
        </w:tc>
        <w:tc>
          <w:tcPr>
            <w:tcW w:type="dxa" w:w="4703"/>
          </w:tcPr>
          <w:p>
            <w:r>
              <w:t>×1.10</w:t>
            </w:r>
          </w:p>
        </w:tc>
      </w:tr>
      <w:tr>
        <w:tc>
          <w:tcPr>
            <w:tcW w:type="dxa" w:w="4703"/>
          </w:tcPr>
          <w:p>
            <w:r>
              <w:t>Toulouse</w:t>
            </w:r>
          </w:p>
        </w:tc>
        <w:tc>
          <w:tcPr>
            <w:tcW w:type="dxa" w:w="4703"/>
          </w:tcPr>
          <w:p>
            <w:r>
              <w:t>×1.00</w:t>
            </w:r>
          </w:p>
        </w:tc>
      </w:tr>
    </w:tbl>
    <w:p/>
    <w:p>
      <w:pPr>
        <w:spacing w:before="160" w:after="80"/>
      </w:pPr>
      <w:r>
        <w:rPr>
          <w:b/>
          <w:color w:val="1F497D"/>
          <w:sz w:val="24"/>
        </w:rPr>
        <w:t>Performance du modèle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rPr>
              <w:t>Métrique</w:t>
            </w:r>
          </w:p>
        </w:tc>
        <w:tc>
          <w:tcPr>
            <w:tcW w:type="dxa" w:w="3135"/>
            <w:shd w:val="clear" w:color="auto" w:fill="1F497D"/>
          </w:tcPr>
          <w:p>
            <w:r>
              <w:rPr>
                <w:b/>
                <w:color w:val="FFFFFF"/>
              </w:rPr>
              <w:t>Valeur</w:t>
            </w:r>
          </w:p>
        </w:tc>
        <w:tc>
          <w:tcPr>
            <w:tcW w:type="dxa" w:w="3135"/>
            <w:shd w:val="clear" w:color="auto" w:fill="1F497D"/>
          </w:tcPr>
          <w:p>
            <w:r>
              <w:rPr>
                <w:b/>
                <w:color w:val="FFFFFF"/>
              </w:rPr>
              <w:t>Interprétation</w:t>
            </w:r>
          </w:p>
        </w:tc>
      </w:tr>
      <w:tr>
        <w:tc>
          <w:tcPr>
            <w:tcW w:type="dxa" w:w="3135"/>
          </w:tcPr>
          <w:p>
            <w:r>
              <w:t>R²</w:t>
            </w:r>
          </w:p>
        </w:tc>
        <w:tc>
          <w:tcPr>
            <w:tcW w:type="dxa" w:w="3135"/>
          </w:tcPr>
          <w:p>
            <w:r>
              <w:t>~0.97</w:t>
            </w:r>
          </w:p>
        </w:tc>
        <w:tc>
          <w:tcPr>
            <w:tcW w:type="dxa" w:w="3135"/>
          </w:tcPr>
          <w:p>
            <w:r>
              <w:t>97% de la variance expliquée</w:t>
            </w:r>
          </w:p>
        </w:tc>
      </w:tr>
      <w:tr>
        <w:tc>
          <w:tcPr>
            <w:tcW w:type="dxa" w:w="3135"/>
          </w:tcPr>
          <w:p>
            <w:r>
              <w:t>RMSE</w:t>
            </w:r>
          </w:p>
        </w:tc>
        <w:tc>
          <w:tcPr>
            <w:tcW w:type="dxa" w:w="3135"/>
          </w:tcPr>
          <w:p>
            <w:r>
              <w:t>~150 €</w:t>
            </w:r>
          </w:p>
        </w:tc>
        <w:tc>
          <w:tcPr>
            <w:tcW w:type="dxa" w:w="3135"/>
          </w:tcPr>
          <w:p>
            <w:r>
              <w:t>Erreur quadratique moyenne</w:t>
            </w:r>
          </w:p>
        </w:tc>
      </w:tr>
      <w:tr>
        <w:tc>
          <w:tcPr>
            <w:tcW w:type="dxa" w:w="3135"/>
          </w:tcPr>
          <w:p>
            <w:r>
              <w:t>MAE</w:t>
            </w:r>
          </w:p>
        </w:tc>
        <w:tc>
          <w:tcPr>
            <w:tcW w:type="dxa" w:w="3135"/>
          </w:tcPr>
          <w:p>
            <w:r>
              <w:t>~110 €</w:t>
            </w:r>
          </w:p>
        </w:tc>
        <w:tc>
          <w:tcPr>
            <w:tcW w:type="dxa" w:w="3135"/>
          </w:tcPr>
          <w:p>
            <w:r>
              <w:t>Erreur absolue moyenne</w:t>
            </w:r>
          </w:p>
        </w:tc>
      </w:tr>
      <w:tr>
        <w:tc>
          <w:tcPr>
            <w:tcW w:type="dxa" w:w="3135"/>
          </w:tcPr>
          <w:p>
            <w:r>
              <w:t>CV R² (5-fold)</w:t>
            </w:r>
          </w:p>
        </w:tc>
        <w:tc>
          <w:tcPr>
            <w:tcW w:type="dxa" w:w="3135"/>
          </w:tcPr>
          <w:p>
            <w:r>
              <w:t>~0.97 ± 0.01</w:t>
            </w:r>
          </w:p>
        </w:tc>
        <w:tc>
          <w:tcPr>
            <w:tcW w:type="dxa" w:w="3135"/>
          </w:tcPr>
          <w:p>
            <w:r>
              <w:t>Validation croisée stable</w:t>
            </w:r>
          </w:p>
        </w:tc>
      </w:tr>
      <w:tr>
        <w:tc>
          <w:tcPr>
            <w:tcW w:type="dxa" w:w="3135"/>
          </w:tcPr>
          <w:p>
            <w:r>
              <w:t>Score de confiance</w:t>
            </w:r>
          </w:p>
        </w:tc>
        <w:tc>
          <w:tcPr>
            <w:tcW w:type="dxa" w:w="3135"/>
          </w:tcPr>
          <w:p>
            <w:r>
              <w:t>70% – 95%</w:t>
            </w:r>
          </w:p>
        </w:tc>
        <w:tc>
          <w:tcPr>
            <w:tcW w:type="dxa" w:w="3135"/>
          </w:tcPr>
          <w:p>
            <w:r>
              <w:t>Selon la qualité des données d'entrée</w:t>
            </w:r>
          </w:p>
        </w:tc>
      </w:tr>
      <w:tr>
        <w:tc>
          <w:tcPr>
            <w:tcW w:type="dxa" w:w="3135"/>
          </w:tcPr>
          <w:p>
            <w:r>
              <w:t>Dataset d'entraînement</w:t>
            </w:r>
          </w:p>
        </w:tc>
        <w:tc>
          <w:tcPr>
            <w:tcW w:type="dxa" w:w="3135"/>
          </w:tcPr>
          <w:p>
            <w:r>
              <w:t>500 événements</w:t>
            </w:r>
          </w:p>
        </w:tc>
        <w:tc>
          <w:tcPr>
            <w:tcW w:type="dxa" w:w="3135"/>
          </w:tcPr>
          <w:p>
            <w:r>
              <w:t>Synthétique, bruit réaliste σ=150€</w:t>
            </w:r>
          </w:p>
        </w:tc>
      </w:tr>
    </w:tbl>
    <w:p/>
    <w:p>
      <w:pPr>
        <w:spacing w:before="160" w:after="80"/>
      </w:pPr>
      <w:r>
        <w:rPr>
          <w:b/>
          <w:color w:val="1F497D"/>
          <w:sz w:val="24"/>
        </w:rPr>
        <w:t>Score de confiance</w:t>
      </w:r>
    </w:p>
    <w:p>
      <w:r>
        <w:rPr>
          <w:sz w:val="22"/>
        </w:rPr>
        <w:t>Le modèle calcule automatiquement un score de confiance pour chaque prédiction, partant d'une base de 70% et ajoutant 10% par critère validé :</w:t>
      </w:r>
    </w:p>
    <w:p>
      <w:pPr>
        <w:pStyle w:val="ListBullet"/>
      </w:pPr>
      <w:r>
        <w:rPr>
          <w:sz w:val="22"/>
        </w:rPr>
        <w:t>+10% si le nombre de participants est dans une plage réaliste (0–1000)</w:t>
      </w:r>
    </w:p>
    <w:p>
      <w:pPr>
        <w:pStyle w:val="ListBullet"/>
      </w:pPr>
      <w:r>
        <w:rPr>
          <w:sz w:val="22"/>
        </w:rPr>
        <w:t>+10% si la durée est cohérente (0–24h)</w:t>
      </w:r>
    </w:p>
    <w:p>
      <w:pPr>
        <w:pStyle w:val="ListBullet"/>
      </w:pPr>
      <w:r>
        <w:rPr>
          <w:sz w:val="22"/>
        </w:rPr>
        <w:t>+10% si la ville fait partie du référentiel connu</w:t>
      </w:r>
    </w:p>
    <w:p/>
    <w:p>
      <w:pPr>
        <w:pStyle w:val="Heading2"/>
      </w:pPr>
      <w:r>
        <w:rPr>
          <w:b/>
          <w:color w:val="2E75B6"/>
        </w:rPr>
        <w:t>4.2  Modèle 2 — Réseau de Neurones MLP (Grands Événements)</w:t>
      </w:r>
    </w:p>
    <w:p>
      <w:pPr>
        <w:spacing w:before="160" w:after="80"/>
      </w:pPr>
      <w:r>
        <w:rPr>
          <w:b/>
          <w:color w:val="1F497D"/>
          <w:sz w:val="24"/>
        </w:rPr>
        <w:t>Objectif et contexte</w:t>
      </w:r>
    </w:p>
    <w:p>
      <w:r>
        <w:rPr>
          <w:sz w:val="22"/>
        </w:rPr>
        <w:t>Pour les événements de plus de 100 participants, les effets non linéaires d'échelle rendent la régression linéaire insuffisante. Un réseau de neurones multi-couches (MLP) est utilisé pour : (1) prédire le coût total, (2) recommander le mode de paiement, (3) identifier les facteurs de risque, et (4) signaler les demandes d'approbation.</w:t>
      </w:r>
    </w:p>
    <w:p>
      <w:pPr>
        <w:spacing w:before="160" w:after="80"/>
      </w:pPr>
      <w:r>
        <w:rPr>
          <w:b/>
          <w:color w:val="1F497D"/>
          <w:sz w:val="24"/>
        </w:rPr>
        <w:t>Architectures des réseaux</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rPr>
              <w:t>Réseau</w:t>
            </w:r>
          </w:p>
        </w:tc>
        <w:tc>
          <w:tcPr>
            <w:tcW w:type="dxa" w:w="2351"/>
            <w:shd w:val="clear" w:color="auto" w:fill="1F497D"/>
          </w:tcPr>
          <w:p>
            <w:r>
              <w:rPr>
                <w:b/>
                <w:color w:val="FFFFFF"/>
              </w:rPr>
              <w:t>Architecture</w:t>
            </w:r>
          </w:p>
        </w:tc>
        <w:tc>
          <w:tcPr>
            <w:tcW w:type="dxa" w:w="2351"/>
            <w:shd w:val="clear" w:color="auto" w:fill="1F497D"/>
          </w:tcPr>
          <w:p>
            <w:r>
              <w:rPr>
                <w:b/>
                <w:color w:val="FFFFFF"/>
              </w:rPr>
              <w:t>Activation / Optimiseur</w:t>
            </w:r>
          </w:p>
        </w:tc>
        <w:tc>
          <w:tcPr>
            <w:tcW w:type="dxa" w:w="2351"/>
            <w:shd w:val="clear" w:color="auto" w:fill="1F497D"/>
          </w:tcPr>
          <w:p>
            <w:r>
              <w:rPr>
                <w:b/>
                <w:color w:val="FFFFFF"/>
              </w:rPr>
              <w:t>Sortie</w:t>
            </w:r>
          </w:p>
        </w:tc>
      </w:tr>
      <w:tr>
        <w:tc>
          <w:tcPr>
            <w:tcW w:type="dxa" w:w="2351"/>
          </w:tcPr>
          <w:p>
            <w:r>
              <w:t>MLP Régression</w:t>
            </w:r>
          </w:p>
        </w:tc>
        <w:tc>
          <w:tcPr>
            <w:tcW w:type="dxa" w:w="2351"/>
          </w:tcPr>
          <w:p>
            <w:r>
              <w:t>9 → 128 → 64 → 32 → 1</w:t>
            </w:r>
          </w:p>
        </w:tc>
        <w:tc>
          <w:tcPr>
            <w:tcW w:type="dxa" w:w="2351"/>
          </w:tcPr>
          <w:p>
            <w:r>
              <w:t>ReLU + Adam</w:t>
            </w:r>
          </w:p>
        </w:tc>
        <w:tc>
          <w:tcPr>
            <w:tcW w:type="dxa" w:w="2351"/>
          </w:tcPr>
          <w:p>
            <w:r>
              <w:t>Coût total (€)</w:t>
            </w:r>
          </w:p>
        </w:tc>
      </w:tr>
      <w:tr>
        <w:tc>
          <w:tcPr>
            <w:tcW w:type="dxa" w:w="2351"/>
          </w:tcPr>
          <w:p>
            <w:r>
              <w:t>MLP Classification</w:t>
            </w:r>
          </w:p>
        </w:tc>
        <w:tc>
          <w:tcPr>
            <w:tcW w:type="dxa" w:w="2351"/>
          </w:tcPr>
          <w:p>
            <w:r>
              <w:t>9 → 64 → 32 → 3</w:t>
            </w:r>
          </w:p>
        </w:tc>
        <w:tc>
          <w:tcPr>
            <w:tcW w:type="dxa" w:w="2351"/>
          </w:tcPr>
          <w:p>
            <w:r>
              <w:t>ReLU + Adam</w:t>
            </w:r>
          </w:p>
        </w:tc>
        <w:tc>
          <w:tcPr>
            <w:tcW w:type="dxa" w:w="2351"/>
          </w:tcPr>
          <w:p>
            <w:r>
              <w:t>Mode de paiement</w:t>
            </w:r>
          </w:p>
        </w:tc>
      </w:tr>
    </w:tbl>
    <w:p/>
    <w:p>
      <w:pPr>
        <w:spacing w:before="160" w:after="80"/>
      </w:pPr>
      <w:r>
        <w:rPr>
          <w:b/>
          <w:color w:val="1F497D"/>
          <w:sz w:val="24"/>
        </w:rPr>
        <w:t>Features d'entrée enrichies</w:t>
      </w:r>
    </w:p>
    <w:p>
      <w:pPr>
        <w:pStyle w:val="ListBullet"/>
      </w:pPr>
      <w:r>
        <w:rPr>
          <w:sz w:val="22"/>
        </w:rPr>
        <w:t>attendees, event_type_enc, duration_hours, city_mult, catering, equipment, location_enc</w:t>
      </w:r>
    </w:p>
    <w:p>
      <w:pPr>
        <w:pStyle w:val="ListBullet"/>
      </w:pPr>
      <w:r>
        <w:rPr>
          <w:sz w:val="22"/>
        </w:rPr>
        <w:t>log_attendees = ln(participants) — capture l'effet logarithmique</w:t>
      </w:r>
    </w:p>
    <w:p>
      <w:pPr>
        <w:pStyle w:val="ListBullet"/>
      </w:pPr>
      <w:r>
        <w:rPr>
          <w:sz w:val="22"/>
        </w:rPr>
        <w:t>att_x_dur = participants × durée — interaction non-linéaire</w:t>
      </w:r>
    </w:p>
    <w:p>
      <w:pPr>
        <w:spacing w:before="160" w:after="80"/>
      </w:pPr>
      <w:r>
        <w:rPr>
          <w:b/>
          <w:color w:val="1F497D"/>
          <w:sz w:val="24"/>
        </w:rPr>
        <w:t>Sorties du modèle</w:t>
      </w:r>
    </w:p>
    <w:p>
      <w:r>
        <w:rPr>
          <w:sz w:val="22"/>
        </w:rPr>
        <w:t>Le modèle produit simultanément quatre résultats :</w:t>
      </w:r>
    </w:p>
    <w:p>
      <w:pPr>
        <w:pStyle w:val="ListBullet"/>
      </w:pPr>
      <w:r>
        <w:rPr>
          <w:sz w:val="22"/>
        </w:rPr>
        <w:t>Coût total prédit (€) — régression</w:t>
      </w:r>
    </w:p>
    <w:p>
      <w:pPr>
        <w:pStyle w:val="ListBullet"/>
      </w:pPr>
      <w:r>
        <w:rPr>
          <w:sz w:val="22"/>
        </w:rPr>
        <w:t>Mode de paiement recommandé : ONLINE (&lt;1 000€) / HYBRID (1 000–5 000€) / ONSITE (&gt;5 000€)</w:t>
      </w:r>
    </w:p>
    <w:p>
      <w:pPr>
        <w:pStyle w:val="ListBullet"/>
      </w:pPr>
      <w:r>
        <w:rPr>
          <w:sz w:val="22"/>
        </w:rPr>
        <w:t>Nombre de facteurs de risque détectés (0 à 4) : &gt;500 participants, coût &gt;10 000€, lieu outdoor, conférence &gt;8h</w:t>
      </w:r>
    </w:p>
    <w:p>
      <w:pPr>
        <w:pStyle w:val="ListBullet"/>
      </w:pPr>
      <w:r>
        <w:rPr>
          <w:sz w:val="22"/>
        </w:rPr>
        <w:t>Approbation requise (oui/non) : automatiquement déclenchée si coût &gt;5 000€</w:t>
      </w:r>
    </w:p>
    <w:p>
      <w:pPr>
        <w:spacing w:before="160" w:after="80"/>
      </w:pPr>
      <w:r>
        <w:rPr>
          <w:b/>
          <w:color w:val="1F497D"/>
          <w:sz w:val="24"/>
        </w:rPr>
        <w:t>Effets non-linéaires capturés</w:t>
      </w:r>
    </w:p>
    <w:p>
      <w:pPr>
        <w:pStyle w:val="ListBullet"/>
      </w:pPr>
      <w:r>
        <w:rPr>
          <w:sz w:val="22"/>
        </w:rPr>
        <w:t>sizeScale venue : max(1.0, surface / 100) — scaling sub-linéaire pour les grandes salles</w:t>
      </w:r>
    </w:p>
    <w:p>
      <w:pPr>
        <w:pStyle w:val="ListBullet"/>
      </w:pPr>
      <w:r>
        <w:rPr>
          <w:sz w:val="22"/>
        </w:rPr>
        <w:t>Marketing logarithmique : budget × ln(n+1) / ln(100) — rendements décroissants</w:t>
      </w:r>
    </w:p>
    <w:p>
      <w:pPr>
        <w:pStyle w:val="ListBullet"/>
      </w:pPr>
      <w:r>
        <w:rPr>
          <w:sz w:val="22"/>
        </w:rPr>
        <w:t>Facteur catering ×1.5 au-delà de 4 heures</w:t>
      </w:r>
    </w:p>
    <w:p>
      <w:pPr>
        <w:pStyle w:val="ListBullet"/>
      </w:pPr>
      <w:r>
        <w:rPr>
          <w:sz w:val="22"/>
        </w:rPr>
        <w:t>Staffing proportionnel à participants/50 × durée</w:t>
      </w:r>
    </w:p>
    <w:p>
      <w:pPr>
        <w:spacing w:before="160" w:after="80"/>
      </w:pPr>
      <w:r>
        <w:rPr>
          <w:b/>
          <w:color w:val="1F497D"/>
          <w:sz w:val="24"/>
        </w:rPr>
        <w:t>Performance du modèle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rPr>
              <w:t>Métrique</w:t>
            </w:r>
          </w:p>
        </w:tc>
        <w:tc>
          <w:tcPr>
            <w:tcW w:type="dxa" w:w="3135"/>
            <w:shd w:val="clear" w:color="auto" w:fill="1F497D"/>
          </w:tcPr>
          <w:p>
            <w:r>
              <w:rPr>
                <w:b/>
                <w:color w:val="FFFFFF"/>
              </w:rPr>
              <w:t>Valeur</w:t>
            </w:r>
          </w:p>
        </w:tc>
        <w:tc>
          <w:tcPr>
            <w:tcW w:type="dxa" w:w="3135"/>
            <w:shd w:val="clear" w:color="auto" w:fill="1F497D"/>
          </w:tcPr>
          <w:p>
            <w:r>
              <w:rPr>
                <w:b/>
                <w:color w:val="FFFFFF"/>
              </w:rPr>
              <w:t>Interprétation</w:t>
            </w:r>
          </w:p>
        </w:tc>
      </w:tr>
      <w:tr>
        <w:tc>
          <w:tcPr>
            <w:tcW w:type="dxa" w:w="3135"/>
          </w:tcPr>
          <w:p>
            <w:r>
              <w:t>R² (régression coût)</w:t>
            </w:r>
          </w:p>
        </w:tc>
        <w:tc>
          <w:tcPr>
            <w:tcW w:type="dxa" w:w="3135"/>
          </w:tcPr>
          <w:p>
            <w:r>
              <w:t>~0.99</w:t>
            </w:r>
          </w:p>
        </w:tc>
        <w:tc>
          <w:tcPr>
            <w:tcW w:type="dxa" w:w="3135"/>
          </w:tcPr>
          <w:p>
            <w:r>
              <w:t>Très haute précision</w:t>
            </w:r>
          </w:p>
        </w:tc>
      </w:tr>
      <w:tr>
        <w:tc>
          <w:tcPr>
            <w:tcW w:type="dxa" w:w="3135"/>
          </w:tcPr>
          <w:p>
            <w:r>
              <w:t>RMSE</w:t>
            </w:r>
          </w:p>
        </w:tc>
        <w:tc>
          <w:tcPr>
            <w:tcW w:type="dxa" w:w="3135"/>
          </w:tcPr>
          <w:p>
            <w:r>
              <w:t>~500 €</w:t>
            </w:r>
          </w:p>
        </w:tc>
        <w:tc>
          <w:tcPr>
            <w:tcW w:type="dxa" w:w="3135"/>
          </w:tcPr>
          <w:p>
            <w:r>
              <w:t>Adapté aux grands montants</w:t>
            </w:r>
          </w:p>
        </w:tc>
      </w:tr>
      <w:tr>
        <w:tc>
          <w:tcPr>
            <w:tcW w:type="dxa" w:w="3135"/>
          </w:tcPr>
          <w:p>
            <w:r>
              <w:t>Classification paiement</w:t>
            </w:r>
          </w:p>
        </w:tc>
        <w:tc>
          <w:tcPr>
            <w:tcW w:type="dxa" w:w="3135"/>
          </w:tcPr>
          <w:p>
            <w:r>
              <w:t>&gt;95% accuracy</w:t>
            </w:r>
          </w:p>
        </w:tc>
        <w:tc>
          <w:tcPr>
            <w:tcW w:type="dxa" w:w="3135"/>
          </w:tcPr>
          <w:p>
            <w:r>
              <w:t>3 classes ONLINE/HYBRID/ONSITE</w:t>
            </w:r>
          </w:p>
        </w:tc>
      </w:tr>
      <w:tr>
        <w:tc>
          <w:tcPr>
            <w:tcW w:type="dxa" w:w="3135"/>
          </w:tcPr>
          <w:p>
            <w:r>
              <w:t>Dataset d'entraînement</w:t>
            </w:r>
          </w:p>
        </w:tc>
        <w:tc>
          <w:tcPr>
            <w:tcW w:type="dxa" w:w="3135"/>
          </w:tcPr>
          <w:p>
            <w:r>
              <w:t>800 événements</w:t>
            </w:r>
          </w:p>
        </w:tc>
        <w:tc>
          <w:tcPr>
            <w:tcW w:type="dxa" w:w="3135"/>
          </w:tcPr>
          <w:p>
            <w:r>
              <w:t>101–1 000 participants</w:t>
            </w:r>
          </w:p>
        </w:tc>
      </w:tr>
      <w:tr>
        <w:tc>
          <w:tcPr>
            <w:tcW w:type="dxa" w:w="3135"/>
          </w:tcPr>
          <w:p>
            <w:r>
              <w:t>Early stopping</w:t>
            </w:r>
          </w:p>
        </w:tc>
        <w:tc>
          <w:tcPr>
            <w:tcW w:type="dxa" w:w="3135"/>
          </w:tcPr>
          <w:p>
            <w:r>
              <w:t>Oui (15% validation)</w:t>
            </w:r>
          </w:p>
        </w:tc>
        <w:tc>
          <w:tcPr>
            <w:tcW w:type="dxa" w:w="3135"/>
          </w:tcPr>
          <w:p>
            <w:r>
              <w:t>Prévention surapprentissage</w:t>
            </w:r>
          </w:p>
        </w:tc>
      </w:tr>
    </w:tbl>
    <w:p/>
    <w:p/>
    <w:p>
      <w:pPr>
        <w:pStyle w:val="Heading2"/>
      </w:pPr>
      <w:r>
        <w:rPr>
          <w:b/>
          <w:color w:val="2E75B6"/>
        </w:rPr>
        <w:t>4.3  Modèle 3 — Analytics IA du Tableau de Bord</w:t>
      </w:r>
    </w:p>
    <w:p>
      <w:pPr>
        <w:spacing w:before="160" w:after="80"/>
      </w:pPr>
      <w:r>
        <w:rPr>
          <w:b/>
          <w:color w:val="1F497D"/>
          <w:sz w:val="24"/>
        </w:rPr>
        <w:t>Objectif et contexte</w:t>
      </w:r>
    </w:p>
    <w:p>
      <w:r>
        <w:rPr>
          <w:sz w:val="22"/>
        </w:rPr>
        <w:t>Ce modèle analyse en temps réel les métriques de la plateforme (inscriptions, événements, taux de remplissage) et produit trois types d'analyses : régression de tendance, détection d'anomalies, et calcul d'un score de santé global. Il alimente directement le composant Angular AIAnalyticsService du tableau de bord.</w:t>
      </w:r>
    </w:p>
    <w:p>
      <w:pPr>
        <w:spacing w:before="160" w:after="80"/>
      </w:pPr>
      <w:r>
        <w:rPr>
          <w:b/>
          <w:color w:val="1F497D"/>
          <w:sz w:val="24"/>
        </w:rPr>
        <w:t>Sous-modèle A — Régression de Tendance</w:t>
      </w:r>
    </w:p>
    <w:p>
      <w:r>
        <w:rPr>
          <w:sz w:val="22"/>
        </w:rPr>
        <w:t>Une régression linéaire est appliquée sur les séries temporelles quotidiennes (historique 12 mois) pour extraire la pente de croissance et projeter les 3 prochains mois. Une régression polynomiale de degré 3 capture les tendances non-linéaires.</w:t>
      </w:r>
    </w:p>
    <w:p>
      <w:pPr>
        <w:pStyle w:val="ListBullet"/>
      </w:pPr>
      <w:r>
        <w:rPr>
          <w:sz w:val="22"/>
        </w:rPr>
        <w:t>Variable : inscriptions quotidiennes (série temporelle)</w:t>
      </w:r>
    </w:p>
    <w:p>
      <w:pPr>
        <w:pStyle w:val="ListBullet"/>
      </w:pPr>
      <w:r>
        <w:rPr>
          <w:sz w:val="22"/>
        </w:rPr>
        <w:t>Régression linéaire : y = slope × jour + intercept</w:t>
      </w:r>
    </w:p>
    <w:p>
      <w:pPr>
        <w:pStyle w:val="ListBullet"/>
      </w:pPr>
      <w:r>
        <w:rPr>
          <w:sz w:val="22"/>
        </w:rPr>
        <w:t>Régression polynomiale degré 3 : meilleure capture des saisonnalités</w:t>
      </w:r>
    </w:p>
    <w:p>
      <w:pPr>
        <w:pStyle w:val="ListBullet"/>
      </w:pPr>
      <w:r>
        <w:rPr>
          <w:sz w:val="22"/>
        </w:rPr>
        <w:t>Projection J+30 avec intervalle de confiance à 95% (±1.96σ)</w:t>
      </w:r>
    </w:p>
    <w:p>
      <w:pPr>
        <w:pStyle w:val="ListBullet"/>
      </w:pPr>
      <w:r>
        <w:rPr>
          <w:sz w:val="22"/>
        </w:rPr>
        <w:t>Métriques : pente (slope inscriptions/jour), R² linéaire, R² polynomial</w:t>
      </w:r>
    </w:p>
    <w:p>
      <w:pPr>
        <w:spacing w:before="160" w:after="80"/>
      </w:pPr>
      <w:r>
        <w:rPr>
          <w:b/>
          <w:color w:val="1F497D"/>
          <w:sz w:val="24"/>
        </w:rPr>
        <w:t>Sous-modèle B — Détection d'Anomalies (Règle 2σ)</w:t>
      </w:r>
    </w:p>
    <w:p>
      <w:r>
        <w:rPr>
          <w:sz w:val="22"/>
        </w:rPr>
        <w:t>Les anomalies sont détectées en calculant les résidus par rapport à la tendance linéaire, puis en appliquant la règle des 2 écarts-types :</w:t>
      </w:r>
    </w:p>
    <w:p>
      <w:pPr>
        <w:pStyle w:val="ListBullet"/>
      </w:pPr>
      <w:r>
        <w:rPr>
          <w:sz w:val="22"/>
        </w:rPr>
        <w:t>Calcul des résidus : résidu = valeur réelle − tendance prédite</w:t>
      </w:r>
    </w:p>
    <w:p>
      <w:pPr>
        <w:pStyle w:val="ListBullet"/>
      </w:pPr>
      <w:r>
        <w:rPr>
          <w:sz w:val="22"/>
        </w:rPr>
        <w:t>Seuil supérieur : μ + 2σ (anomalie haute — pic inhabituel)</w:t>
      </w:r>
    </w:p>
    <w:p>
      <w:pPr>
        <w:pStyle w:val="ListBullet"/>
      </w:pPr>
      <w:r>
        <w:rPr>
          <w:sz w:val="22"/>
        </w:rPr>
        <w:t>Seuil inférieur : μ − 2σ (anomalie basse — chute inhabituelle)</w:t>
      </w:r>
    </w:p>
    <w:p>
      <w:pPr>
        <w:pStyle w:val="ListBullet"/>
      </w:pPr>
      <w:r>
        <w:rPr>
          <w:sz w:val="22"/>
        </w:rPr>
        <w:t>Taux d'anomalies typique : ~4–8% des jours sur 90 jours</w:t>
      </w:r>
    </w:p>
    <w:p>
      <w:pPr>
        <w:pStyle w:val="ListBullet"/>
      </w:pPr>
      <w:r>
        <w:rPr>
          <w:sz w:val="22"/>
        </w:rPr>
        <w:t>Génération automatique d'alertes et recommandations marketing</w:t>
      </w:r>
    </w:p>
    <w:p>
      <w:pPr>
        <w:spacing w:before="160" w:after="80"/>
      </w:pPr>
      <w:r>
        <w:rPr>
          <w:b/>
          <w:color w:val="1F497D"/>
          <w:sz w:val="24"/>
        </w:rPr>
        <w:t>Sous-modèle C — Score de Santé de la Plateforme</w:t>
      </w:r>
    </w:p>
    <w:p>
      <w:r>
        <w:rPr>
          <w:sz w:val="22"/>
        </w:rPr>
        <w:t>Un score composite de 0 à 100 est calculé quotidiennement selon une formule pondérée :</w:t>
      </w:r>
    </w:p>
    <w:p>
      <w:pPr>
        <w:jc w:val="center"/>
      </w:pPr>
      <w:r>
        <w:rPr>
          <w:b/>
          <w:color w:val="1F497D"/>
          <w:sz w:val="22"/>
        </w:rPr>
        <w:t>Score Santé = 0.40 × ScoreInscriptions + 0.30 × ScoreComplétion + 0.30 × ScoreCroissance</w:t>
      </w:r>
    </w:p>
    <w:p/>
    <w:p>
      <w:r>
        <w:rPr>
          <w:sz w:val="22"/>
        </w:rPr>
        <w:t>Détail de chaque composante :</w:t>
      </w:r>
    </w:p>
    <w:p>
      <w:pPr>
        <w:pStyle w:val="ListBullet"/>
      </w:pPr>
      <w:r>
        <w:rPr>
          <w:sz w:val="22"/>
        </w:rPr>
        <w:t>ScoreInscriptions : min(100, inscriptions/60 × 100) — normalisé sur la référence de 60 inscr./j</w:t>
      </w:r>
    </w:p>
    <w:p>
      <w:pPr>
        <w:pStyle w:val="ListBullet"/>
      </w:pPr>
      <w:r>
        <w:rPr>
          <w:sz w:val="22"/>
        </w:rPr>
        <w:t>ScoreComplétion : (événements terminés / total événements) × 100</w:t>
      </w:r>
    </w:p>
    <w:p>
      <w:pPr>
        <w:pStyle w:val="ListBullet"/>
      </w:pPr>
      <w:r>
        <w:rPr>
          <w:sz w:val="22"/>
        </w:rPr>
        <w:t>ScoreCroissance : min(100, max(0, 50 + (tauxRemplissage − 0.5) × 100))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rPr>
              <w:t>Statut</w:t>
            </w:r>
          </w:p>
        </w:tc>
        <w:tc>
          <w:tcPr>
            <w:tcW w:type="dxa" w:w="2351"/>
            <w:shd w:val="clear" w:color="auto" w:fill="1F497D"/>
          </w:tcPr>
          <w:p>
            <w:r>
              <w:rPr>
                <w:b/>
                <w:color w:val="FFFFFF"/>
              </w:rPr>
              <w:t>Plage</w:t>
            </w:r>
          </w:p>
        </w:tc>
        <w:tc>
          <w:tcPr>
            <w:tcW w:type="dxa" w:w="2351"/>
            <w:shd w:val="clear" w:color="auto" w:fill="1F497D"/>
          </w:tcPr>
          <w:p>
            <w:r>
              <w:rPr>
                <w:b/>
                <w:color w:val="FFFFFF"/>
              </w:rPr>
              <w:t>Couleur</w:t>
            </w:r>
          </w:p>
        </w:tc>
        <w:tc>
          <w:tcPr>
            <w:tcW w:type="dxa" w:w="2351"/>
            <w:shd w:val="clear" w:color="auto" w:fill="1F497D"/>
          </w:tcPr>
          <w:p>
            <w:r>
              <w:rPr>
                <w:b/>
                <w:color w:val="FFFFFF"/>
              </w:rPr>
              <w:t>Interprétation</w:t>
            </w:r>
          </w:p>
        </w:tc>
      </w:tr>
      <w:tr>
        <w:tc>
          <w:tcPr>
            <w:tcW w:type="dxa" w:w="2351"/>
          </w:tcPr>
          <w:p>
            <w:r>
              <w:t>Excellent</w:t>
            </w:r>
          </w:p>
        </w:tc>
        <w:tc>
          <w:tcPr>
            <w:tcW w:type="dxa" w:w="2351"/>
          </w:tcPr>
          <w:p>
            <w:r>
              <w:t>80 – 100</w:t>
            </w:r>
          </w:p>
        </w:tc>
        <w:tc>
          <w:tcPr>
            <w:tcW w:type="dxa" w:w="2351"/>
          </w:tcPr>
          <w:p>
            <w:r>
              <w:t>Vert</w:t>
            </w:r>
          </w:p>
        </w:tc>
        <w:tc>
          <w:tcPr>
            <w:tcW w:type="dxa" w:w="2351"/>
          </w:tcPr>
          <w:p>
            <w:r>
              <w:t>Tout va bien</w:t>
            </w:r>
          </w:p>
        </w:tc>
      </w:tr>
      <w:tr>
        <w:tc>
          <w:tcPr>
            <w:tcW w:type="dxa" w:w="2351"/>
          </w:tcPr>
          <w:p>
            <w:r>
              <w:t>Bon</w:t>
            </w:r>
          </w:p>
        </w:tc>
        <w:tc>
          <w:tcPr>
            <w:tcW w:type="dxa" w:w="2351"/>
          </w:tcPr>
          <w:p>
            <w:r>
              <w:t>65 – 79</w:t>
            </w:r>
          </w:p>
        </w:tc>
        <w:tc>
          <w:tcPr>
            <w:tcW w:type="dxa" w:w="2351"/>
          </w:tcPr>
          <w:p>
            <w:r>
              <w:t>Bleu</w:t>
            </w:r>
          </w:p>
        </w:tc>
        <w:tc>
          <w:tcPr>
            <w:tcW w:type="dxa" w:w="2351"/>
          </w:tcPr>
          <w:p>
            <w:r>
              <w:t>Performance satisfaisante</w:t>
            </w:r>
          </w:p>
        </w:tc>
      </w:tr>
      <w:tr>
        <w:tc>
          <w:tcPr>
            <w:tcW w:type="dxa" w:w="2351"/>
          </w:tcPr>
          <w:p>
            <w:r>
              <w:t>Moyen</w:t>
            </w:r>
          </w:p>
        </w:tc>
        <w:tc>
          <w:tcPr>
            <w:tcW w:type="dxa" w:w="2351"/>
          </w:tcPr>
          <w:p>
            <w:r>
              <w:t>50 – 64</w:t>
            </w:r>
          </w:p>
        </w:tc>
        <w:tc>
          <w:tcPr>
            <w:tcW w:type="dxa" w:w="2351"/>
          </w:tcPr>
          <w:p>
            <w:r>
              <w:t>Orange</w:t>
            </w:r>
          </w:p>
        </w:tc>
        <w:tc>
          <w:tcPr>
            <w:tcW w:type="dxa" w:w="2351"/>
          </w:tcPr>
          <w:p>
            <w:r>
              <w:t>Améliorations recommandées</w:t>
            </w:r>
          </w:p>
        </w:tc>
      </w:tr>
      <w:tr>
        <w:tc>
          <w:tcPr>
            <w:tcW w:type="dxa" w:w="2351"/>
          </w:tcPr>
          <w:p>
            <w:r>
              <w:t>Faible</w:t>
            </w:r>
          </w:p>
        </w:tc>
        <w:tc>
          <w:tcPr>
            <w:tcW w:type="dxa" w:w="2351"/>
          </w:tcPr>
          <w:p>
            <w:r>
              <w:t>0 – 49</w:t>
            </w:r>
          </w:p>
        </w:tc>
        <w:tc>
          <w:tcPr>
            <w:tcW w:type="dxa" w:w="2351"/>
          </w:tcPr>
          <w:p>
            <w:r>
              <w:t>Rouge</w:t>
            </w:r>
          </w:p>
        </w:tc>
        <w:tc>
          <w:tcPr>
            <w:tcW w:type="dxa" w:w="2351"/>
          </w:tcPr>
          <w:p>
            <w:r>
              <w:t>Action urgente requise</w:t>
            </w:r>
          </w:p>
        </w:tc>
      </w:tr>
    </w:tbl>
    <w:p/>
    <w:p>
      <w:pPr>
        <w:spacing w:before="160" w:after="80"/>
      </w:pPr>
      <w:r>
        <w:rPr>
          <w:b/>
          <w:color w:val="1F497D"/>
          <w:sz w:val="24"/>
        </w:rPr>
        <w:t>Recommandations automatiques générées par l'IA</w:t>
      </w:r>
    </w:p>
    <w:p>
      <w:pPr>
        <w:pStyle w:val="ListBullet"/>
      </w:pPr>
      <w:r>
        <w:rPr>
          <w:sz w:val="22"/>
        </w:rPr>
        <w:t>Détection de baisse des nouvelles inscriptions → suggestion de campagne marketing</w:t>
      </w:r>
    </w:p>
    <w:p>
      <w:pPr>
        <w:pStyle w:val="ListBullet"/>
      </w:pPr>
      <w:r>
        <w:rPr>
          <w:sz w:val="22"/>
        </w:rPr>
        <w:t>Identification d'un faible taux de complétion → alerte sur l'organisation des événements</w:t>
      </w:r>
    </w:p>
    <w:p>
      <w:pPr>
        <w:pStyle w:val="ListBullet"/>
      </w:pPr>
      <w:r>
        <w:rPr>
          <w:sz w:val="22"/>
        </w:rPr>
        <w:t>Anomalie haute (pic d'inscriptions) → recommandation d'augmentation des capacités</w:t>
      </w:r>
    </w:p>
    <w:p>
      <w:pPr>
        <w:pStyle w:val="ListBullet"/>
      </w:pPr>
      <w:r>
        <w:rPr>
          <w:sz w:val="22"/>
        </w:rPr>
        <w:t>Projection négative → alerte stratégique avec suggestions d'actions correctives</w:t>
      </w:r>
    </w:p>
    <w:p/>
    <w:p>
      <w:pPr>
        <w:pStyle w:val="Heading2"/>
      </w:pPr>
      <w:r>
        <w:rPr>
          <w:b/>
          <w:color w:val="2E75B6"/>
        </w:rPr>
        <w:t>4.4  Synthèse Comparative des Modèles 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rPr>
              <w:t>Modèle</w:t>
            </w:r>
          </w:p>
        </w:tc>
        <w:tc>
          <w:tcPr>
            <w:tcW w:type="dxa" w:w="1568"/>
            <w:shd w:val="clear" w:color="auto" w:fill="1F497D"/>
          </w:tcPr>
          <w:p>
            <w:r>
              <w:rPr>
                <w:b/>
                <w:color w:val="FFFFFF"/>
              </w:rPr>
              <w:t>Type</w:t>
            </w:r>
          </w:p>
        </w:tc>
        <w:tc>
          <w:tcPr>
            <w:tcW w:type="dxa" w:w="1568"/>
            <w:shd w:val="clear" w:color="auto" w:fill="1F497D"/>
          </w:tcPr>
          <w:p>
            <w:r>
              <w:rPr>
                <w:b/>
                <w:color w:val="FFFFFF"/>
              </w:rPr>
              <w:t>Périmètre</w:t>
            </w:r>
          </w:p>
        </w:tc>
        <w:tc>
          <w:tcPr>
            <w:tcW w:type="dxa" w:w="1568"/>
            <w:shd w:val="clear" w:color="auto" w:fill="1F497D"/>
          </w:tcPr>
          <w:p>
            <w:r>
              <w:rPr>
                <w:b/>
                <w:color w:val="FFFFFF"/>
              </w:rPr>
              <w:t>Sorties</w:t>
            </w:r>
          </w:p>
        </w:tc>
        <w:tc>
          <w:tcPr>
            <w:tcW w:type="dxa" w:w="1568"/>
            <w:shd w:val="clear" w:color="auto" w:fill="1F497D"/>
          </w:tcPr>
          <w:p>
            <w:r>
              <w:rPr>
                <w:b/>
                <w:color w:val="FFFFFF"/>
              </w:rPr>
              <w:t>Performance</w:t>
            </w:r>
          </w:p>
        </w:tc>
        <w:tc>
          <w:tcPr>
            <w:tcW w:type="dxa" w:w="1568"/>
            <w:shd w:val="clear" w:color="auto" w:fill="1F497D"/>
          </w:tcPr>
          <w:p>
            <w:r>
              <w:rPr>
                <w:b/>
                <w:color w:val="FFFFFF"/>
              </w:rPr>
              <w:t>Dataset</w:t>
            </w:r>
          </w:p>
        </w:tc>
      </w:tr>
      <w:tr>
        <w:tc>
          <w:tcPr>
            <w:tcW w:type="dxa" w:w="1568"/>
          </w:tcPr>
          <w:p>
            <w:r>
              <w:t>Modèle 1</w:t>
            </w:r>
          </w:p>
        </w:tc>
        <w:tc>
          <w:tcPr>
            <w:tcW w:type="dxa" w:w="1568"/>
          </w:tcPr>
          <w:p>
            <w:r>
              <w:t>Régression Linéaire</w:t>
            </w:r>
          </w:p>
        </w:tc>
        <w:tc>
          <w:tcPr>
            <w:tcW w:type="dxa" w:w="1568"/>
          </w:tcPr>
          <w:p>
            <w:r>
              <w:t>≤100 participants</w:t>
            </w:r>
          </w:p>
        </w:tc>
        <w:tc>
          <w:tcPr>
            <w:tcW w:type="dxa" w:w="1568"/>
          </w:tcPr>
          <w:p>
            <w:r>
              <w:t>Coût total (€)</w:t>
            </w:r>
          </w:p>
        </w:tc>
        <w:tc>
          <w:tcPr>
            <w:tcW w:type="dxa" w:w="1568"/>
          </w:tcPr>
          <w:p>
            <w:r>
              <w:t>~0.97</w:t>
            </w:r>
          </w:p>
        </w:tc>
        <w:tc>
          <w:tcPr>
            <w:tcW w:type="dxa" w:w="1568"/>
          </w:tcPr>
          <w:p>
            <w:r>
              <w:t>500 événements synthétiques</w:t>
            </w:r>
          </w:p>
        </w:tc>
      </w:tr>
      <w:tr>
        <w:tc>
          <w:tcPr>
            <w:tcW w:type="dxa" w:w="1568"/>
          </w:tcPr>
          <w:p>
            <w:r>
              <w:t>Modèle 2</w:t>
            </w:r>
          </w:p>
        </w:tc>
        <w:tc>
          <w:tcPr>
            <w:tcW w:type="dxa" w:w="1568"/>
          </w:tcPr>
          <w:p>
            <w:r>
              <w:t>Réseau MLP</w:t>
            </w:r>
          </w:p>
        </w:tc>
        <w:tc>
          <w:tcPr>
            <w:tcW w:type="dxa" w:w="1568"/>
          </w:tcPr>
          <w:p>
            <w:r>
              <w:t>&gt;100 participants</w:t>
            </w:r>
          </w:p>
        </w:tc>
        <w:tc>
          <w:tcPr>
            <w:tcW w:type="dxa" w:w="1568"/>
          </w:tcPr>
          <w:p>
            <w:r>
              <w:t>Coût + paiement + risques + approbation</w:t>
            </w:r>
          </w:p>
        </w:tc>
        <w:tc>
          <w:tcPr>
            <w:tcW w:type="dxa" w:w="1568"/>
          </w:tcPr>
          <w:p>
            <w:r>
              <w:t>~0.99 (coût) / &gt;95% (classif.)</w:t>
            </w:r>
          </w:p>
        </w:tc>
        <w:tc>
          <w:tcPr>
            <w:tcW w:type="dxa" w:w="1568"/>
          </w:tcPr>
          <w:p>
            <w:r>
              <w:t>800 grands événements</w:t>
            </w:r>
          </w:p>
        </w:tc>
      </w:tr>
      <w:tr>
        <w:tc>
          <w:tcPr>
            <w:tcW w:type="dxa" w:w="1568"/>
          </w:tcPr>
          <w:p>
            <w:r>
              <w:t>Modèle 3</w:t>
            </w:r>
          </w:p>
        </w:tc>
        <w:tc>
          <w:tcPr>
            <w:tcW w:type="dxa" w:w="1568"/>
          </w:tcPr>
          <w:p>
            <w:r>
              <w:t>Régression de tendance + 2σ + Score santé</w:t>
            </w:r>
          </w:p>
        </w:tc>
        <w:tc>
          <w:tcPr>
            <w:tcW w:type="dxa" w:w="1568"/>
          </w:tcPr>
          <w:p>
            <w:r>
              <w:t>Métriques plateforme (temps réel)</w:t>
            </w:r>
          </w:p>
        </w:tc>
        <w:tc>
          <w:tcPr>
            <w:tcW w:type="dxa" w:w="1568"/>
          </w:tcPr>
          <w:p>
            <w:r>
              <w:t>Tendance + anomalies + score santé</w:t>
            </w:r>
          </w:p>
        </w:tc>
        <w:tc>
          <w:tcPr>
            <w:tcW w:type="dxa" w:w="1568"/>
          </w:tcPr>
          <w:p>
            <w:r>
              <w:t>R² &gt; 0.95 (tendance)</w:t>
            </w:r>
          </w:p>
        </w:tc>
        <w:tc>
          <w:tcPr>
            <w:tcW w:type="dxa" w:w="1568"/>
          </w:tcPr>
          <w:p>
            <w:r>
              <w:t>90 jours de métriques</w:t>
            </w:r>
          </w:p>
        </w:tc>
      </w:tr>
    </w:tbl>
    <w:p/>
    <w:p>
      <w:pPr>
        <w:spacing w:before="160" w:after="80"/>
      </w:pPr>
      <w:r>
        <w:rPr>
          <w:b/>
          <w:color w:val="1F497D"/>
          <w:sz w:val="24"/>
        </w:rPr>
        <w:t>Intégration dans l'architecture microservices</w:t>
      </w:r>
    </w:p>
    <w:p>
      <w:pPr>
        <w:pStyle w:val="ListBullet"/>
      </w:pPr>
      <w:r>
        <w:rPr>
          <w:sz w:val="22"/>
        </w:rPr>
        <w:t>Modèles 1 &amp; 2 → charges-service (AIChargePredictionService.java, Quarkus, port 8086)</w:t>
      </w:r>
    </w:p>
    <w:p>
      <w:pPr>
        <w:pStyle w:val="ListBullet"/>
      </w:pPr>
      <w:r>
        <w:rPr>
          <w:sz w:val="22"/>
        </w:rPr>
        <w:t>Modèle 3 → dashboard-service (AIAnalyticsService, Angular BackOffice, port 8085)</w:t>
      </w:r>
    </w:p>
    <w:p>
      <w:pPr>
        <w:pStyle w:val="ListBullet"/>
      </w:pPr>
      <w:r>
        <w:rPr>
          <w:sz w:val="22"/>
        </w:rPr>
        <w:t>Les modèles Python sont la référence de validation ; les calculs en production sont implémentés directement en Java/TypeScript pour éviter la dépendance à un runtime Python</w:t>
      </w:r>
    </w:p>
    <w:p>
      <w:pPr>
        <w:pStyle w:val="ListBullet"/>
      </w:pPr>
      <w:r>
        <w:rPr>
          <w:sz w:val="22"/>
        </w:rPr>
        <w:t>Les hyperparamètres (seuils de coûts, multiplicateurs géographiques, poids du score santé) sont configurables sans recompilation</w:t>
      </w:r>
    </w:p>
    <w:p>
      <w:r>
        <w:br w:type="page"/>
      </w:r>
    </w:p>
    <w:p>
      <w:pPr>
        <w:pStyle w:val="Heading1"/>
      </w:pPr>
      <w:r>
        <w:rPr>
          <w:b/>
          <w:color w:val="1F497D"/>
        </w:rPr>
        <w:t>5. Nouvelles Fonctionnalités — Session de Développement (Commit da72185)</w:t>
      </w:r>
    </w:p>
    <w:p>
      <w:r>
        <w:rPr>
          <w:sz w:val="22"/>
        </w:rPr>
        <w:t xml:space="preserve">Cette section documente les évolutions apportées lors de la dernière session de développement sur la branche </w:t>
      </w:r>
      <w:r>
        <w:rPr>
          <w:rFonts w:ascii="Courier New" w:hAnsi="Courier New"/>
          <w:sz w:val="20"/>
        </w:rPr>
        <w:t>appmod/java-upgrade-20260211172141</w:t>
      </w:r>
      <w:r>
        <w:rPr>
          <w:sz w:val="22"/>
        </w:rPr>
        <w:t>. Le commit da72185 regroupe 55 fichiers modifiés ou créés, couvrant le FrontOffice React, le BackOffice Angular et plusieurs microservices backend.</w:t>
      </w:r>
    </w:p>
    <w:p/>
    <w:p>
      <w:pPr>
        <w:pStyle w:val="Heading2"/>
      </w:pPr>
      <w:r>
        <w:rPr>
          <w:b/>
          <w:color w:val="2E75B6"/>
        </w:rPr>
        <w:t>5.1  Refonte Design du BackOffice (Style FrontOffice)</w:t>
      </w:r>
    </w:p>
    <w:p>
      <w:r>
        <w:rPr>
          <w:sz w:val="22"/>
        </w:rPr>
        <w:t>Le BackOffice Angular a subi une refonte visuelle complète pour adopter l'identité visuelle LinSoft déjà en place dans le FrontOffice React. Cette harmonisation garantit une cohérence visuelle entre les deux interfaces.</w:t>
      </w:r>
    </w:p>
    <w:p>
      <w:pPr>
        <w:spacing w:before="160" w:after="80"/>
      </w:pPr>
      <w:r>
        <w:rPr>
          <w:b/>
          <w:color w:val="1F497D"/>
          <w:sz w:val="24"/>
        </w:rPr>
        <w:t>Améliorations visuelles</w:t>
      </w:r>
    </w:p>
    <w:p>
      <w:pPr>
        <w:pStyle w:val="ListBullet"/>
      </w:pPr>
      <w:r>
        <w:rPr>
          <w:sz w:val="22"/>
        </w:rPr>
        <w:t>Adoption de la palette LinSoft : Navy #2A3652, Coral #FF5276, fond #f5f7fa</w:t>
      </w:r>
    </w:p>
    <w:p>
      <w:pPr>
        <w:pStyle w:val="ListBullet"/>
      </w:pPr>
      <w:r>
        <w:rPr>
          <w:sz w:val="22"/>
        </w:rPr>
        <w:t>Liste des événements convertie en grille de cartes visuelles avec image de bannière, badge de date flottant et badge de statut coloré</w:t>
      </w:r>
    </w:p>
    <w:p>
      <w:pPr>
        <w:pStyle w:val="ListBullet"/>
      </w:pPr>
      <w:r>
        <w:rPr>
          <w:sz w:val="22"/>
        </w:rPr>
        <w:t>Cartes avec border-radius 16px, box-shadow et effets hover</w:t>
      </w:r>
    </w:p>
    <w:p>
      <w:pPr>
        <w:pStyle w:val="ListBullet"/>
      </w:pPr>
      <w:r>
        <w:rPr>
          <w:sz w:val="22"/>
        </w:rPr>
        <w:t>Fallback automatique vers Picsum Photos si aucune image n'est renseignée</w:t>
      </w:r>
    </w:p>
    <w:p>
      <w:pPr>
        <w:pStyle w:val="ListBullet"/>
      </w:pPr>
      <w:r>
        <w:rPr>
          <w:sz w:val="22"/>
        </w:rPr>
        <w:t>Boutons d'action utilisant les icônes tim-icons (remplacement des nc-icons non chargées)</w:t>
      </w:r>
    </w:p>
    <w:p>
      <w:pPr>
        <w:pStyle w:val="ListBullet"/>
      </w:pPr>
      <w:r>
        <w:rPr>
          <w:sz w:val="22"/>
        </w:rPr>
        <w:t>Correction des couleurs de texte (blanc sur fond sombre → contraste correct avec !important)</w:t>
      </w:r>
    </w:p>
    <w:p>
      <w:pPr>
        <w:pStyle w:val="Heading2"/>
      </w:pPr>
      <w:r>
        <w:rPr>
          <w:b/>
          <w:color w:val="2E75B6"/>
        </w:rPr>
        <w:t>5.2  Avatar de Profil Modifiable</w:t>
      </w:r>
    </w:p>
    <w:p>
      <w:r>
        <w:rPr>
          <w:sz w:val="22"/>
        </w:rPr>
        <w:t>Les utilisateurs peuvent désormais personnaliser leur photo de profil directement depuis la page Profil du FrontOffice.</w:t>
      </w:r>
    </w:p>
    <w:p>
      <w:pPr>
        <w:spacing w:before="160" w:after="80"/>
      </w:pPr>
      <w:r>
        <w:rPr>
          <w:b/>
          <w:color w:val="1F497D"/>
          <w:sz w:val="24"/>
        </w:rPr>
        <w:t>Fonctionnement</w:t>
      </w:r>
    </w:p>
    <w:p>
      <w:pPr>
        <w:pStyle w:val="ListBullet"/>
      </w:pPr>
      <w:r>
        <w:rPr>
          <w:sz w:val="22"/>
        </w:rPr>
        <w:t>Clic sur l'avatar → ouverture du sélecteur de fichier (JPG, PNG, WEBP — max 2 Mo)</w:t>
      </w:r>
    </w:p>
    <w:p>
      <w:pPr>
        <w:pStyle w:val="ListBullet"/>
      </w:pPr>
      <w:r>
        <w:rPr>
          <w:sz w:val="22"/>
        </w:rPr>
        <w:t>Lecture du fichier en base64 via FileReader API</w:t>
      </w:r>
    </w:p>
    <w:p>
      <w:pPr>
        <w:pStyle w:val="ListBullet"/>
      </w:pPr>
      <w:r>
        <w:rPr>
          <w:sz w:val="22"/>
        </w:rPr>
        <w:t>Prévisualisation instantanée avant sauvegarde</w:t>
      </w:r>
    </w:p>
    <w:p>
      <w:pPr>
        <w:pStyle w:val="ListBullet"/>
      </w:pPr>
      <w:r>
        <w:rPr>
          <w:sz w:val="22"/>
        </w:rPr>
        <w:t>Persistance de l'avatar en localStorage lié à l'ID utilisateur (survit aux reconnexions)</w:t>
      </w:r>
    </w:p>
    <w:p>
      <w:pPr>
        <w:pStyle w:val="ListBullet"/>
      </w:pPr>
      <w:r>
        <w:rPr>
          <w:sz w:val="22"/>
        </w:rPr>
        <w:t>Bouton de suppression de l'avatar avec retour à l'initiale</w:t>
      </w:r>
    </w:p>
    <w:p>
      <w:pPr>
        <w:pStyle w:val="ListBullet"/>
      </w:pPr>
      <w:r>
        <w:rPr>
          <w:sz w:val="22"/>
        </w:rPr>
        <w:t>Synchronisation avec le contexte d'authentification (AuthContext)</w:t>
      </w:r>
    </w:p>
    <w:p>
      <w:pPr>
        <w:pStyle w:val="Heading2"/>
      </w:pPr>
      <w:r>
        <w:rPr>
          <w:b/>
          <w:color w:val="2E75B6"/>
        </w:rPr>
        <w:t>5.3  Traduction Française (FrontOffice + BackOffice)</w:t>
      </w:r>
    </w:p>
    <w:p>
      <w:r>
        <w:rPr>
          <w:sz w:val="22"/>
        </w:rPr>
        <w:t>L'ensemble de l'interface utilisateur a été traduit en français, tant côté FrontOffice que BackOffice.</w:t>
      </w:r>
    </w:p>
    <w:p>
      <w:pPr>
        <w:spacing w:before="160" w:after="80"/>
      </w:pPr>
      <w:r>
        <w:rPr>
          <w:b/>
          <w:color w:val="1F497D"/>
          <w:sz w:val="24"/>
        </w:rPr>
        <w:t>FrontOffice (React)</w:t>
      </w:r>
    </w:p>
    <w:p>
      <w:pPr>
        <w:pStyle w:val="ListBullet"/>
      </w:pPr>
      <w:r>
        <w:rPr>
          <w:sz w:val="22"/>
        </w:rPr>
        <w:t>Toutes les pages traduites : Accueil, Événements, Détail, Connexion, Inscription, Tableau de bord, Profil</w:t>
      </w:r>
    </w:p>
    <w:p>
      <w:pPr>
        <w:pStyle w:val="ListBullet"/>
      </w:pPr>
      <w:r>
        <w:rPr>
          <w:sz w:val="22"/>
        </w:rPr>
        <w:t>Messages d'erreur, toasts, placeholders et labels de formulaires en français</w:t>
      </w:r>
    </w:p>
    <w:p>
      <w:pPr>
        <w:pStyle w:val="ListBullet"/>
      </w:pPr>
      <w:r>
        <w:rPr>
          <w:sz w:val="22"/>
        </w:rPr>
        <w:t>Badges de statut traduits : Ouvert / À venir / Terminé / Annulé</w:t>
      </w:r>
    </w:p>
    <w:p>
      <w:pPr>
        <w:pStyle w:val="ListBullet"/>
      </w:pPr>
      <w:r>
        <w:rPr>
          <w:sz w:val="22"/>
        </w:rPr>
        <w:t>Dates affichées au format français (JJ/MM/AAAA, noms de mois en français)</w:t>
      </w:r>
    </w:p>
    <w:p>
      <w:pPr>
        <w:spacing w:before="160" w:after="80"/>
      </w:pPr>
      <w:r>
        <w:rPr>
          <w:b/>
          <w:color w:val="1F497D"/>
          <w:sz w:val="24"/>
        </w:rPr>
        <w:t>BackOffice (Angular)</w:t>
      </w:r>
    </w:p>
    <w:p>
      <w:pPr>
        <w:pStyle w:val="ListBullet"/>
      </w:pPr>
      <w:r>
        <w:rPr>
          <w:sz w:val="22"/>
        </w:rPr>
        <w:t>Labels de la sidebar et des menus traduits en français</w:t>
      </w:r>
    </w:p>
    <w:p>
      <w:pPr>
        <w:pStyle w:val="ListBullet"/>
      </w:pPr>
      <w:r>
        <w:rPr>
          <w:sz w:val="22"/>
        </w:rPr>
        <w:t>En-têtes de tableaux, titres de pages et messages d'état traduits</w:t>
      </w:r>
    </w:p>
    <w:p>
      <w:pPr>
        <w:pStyle w:val="ListBullet"/>
      </w:pPr>
      <w:r>
        <w:rPr>
          <w:sz w:val="22"/>
        </w:rPr>
        <w:t>Messages de confirmation (suppression, approbation) en français</w:t>
      </w:r>
    </w:p>
    <w:p>
      <w:pPr>
        <w:pStyle w:val="Heading2"/>
      </w:pPr>
      <w:r>
        <w:rPr>
          <w:b/>
          <w:color w:val="2E75B6"/>
        </w:rPr>
        <w:t>5.4  Emails d'Inscription Automatiques</w:t>
      </w:r>
    </w:p>
    <w:p>
      <w:r>
        <w:rPr>
          <w:sz w:val="22"/>
        </w:rPr>
        <w:t>Le système de notifications envoie désormais des emails automatiques à deux types d'utilisateurs lors d'une inscription à un événement.</w:t>
      </w:r>
    </w:p>
    <w:p>
      <w:pPr>
        <w:spacing w:before="160" w:after="80"/>
      </w:pPr>
      <w:r>
        <w:rPr>
          <w:b/>
          <w:color w:val="1F497D"/>
          <w:sz w:val="24"/>
        </w:rPr>
        <w:t>Email au participant connecté</w:t>
      </w:r>
    </w:p>
    <w:p>
      <w:pPr>
        <w:pStyle w:val="ListBullet"/>
      </w:pPr>
      <w:r>
        <w:rPr>
          <w:sz w:val="22"/>
        </w:rPr>
        <w:t>Envoi automatique lors de la création d'une inscription (statut PENDING)</w:t>
      </w:r>
    </w:p>
    <w:p>
      <w:pPr>
        <w:pStyle w:val="ListBullet"/>
      </w:pPr>
      <w:r>
        <w:rPr>
          <w:sz w:val="22"/>
        </w:rPr>
        <w:t>Contenu : confirmation d'inscription, nom de l'événement, date de début au format français</w:t>
      </w:r>
    </w:p>
    <w:p>
      <w:pPr>
        <w:pStyle w:val="ListBullet"/>
      </w:pPr>
      <w:r>
        <w:rPr>
          <w:sz w:val="22"/>
        </w:rPr>
        <w:t>Mise à jour d'email lors du passage au statut CONFIRMED, CANCELLED ou WAITLISTED</w:t>
      </w:r>
    </w:p>
    <w:p>
      <w:pPr>
        <w:pStyle w:val="ListBullet"/>
      </w:pPr>
      <w:r>
        <w:rPr>
          <w:sz w:val="22"/>
        </w:rPr>
        <w:t>Template HTML avec l'identité visuelle LinSoft</w:t>
      </w:r>
    </w:p>
    <w:p>
      <w:pPr>
        <w:spacing w:before="160" w:after="80"/>
      </w:pPr>
      <w:r>
        <w:rPr>
          <w:b/>
          <w:color w:val="1F497D"/>
          <w:sz w:val="24"/>
        </w:rPr>
        <w:t>Email au visiteur non connecté (Guest Registration)</w:t>
      </w:r>
    </w:p>
    <w:p>
      <w:pPr>
        <w:pStyle w:val="ListBullet"/>
      </w:pPr>
      <w:r>
        <w:rPr>
          <w:sz w:val="22"/>
        </w:rPr>
        <w:t>Modal GuestRegistrationModal permettant l'inscription sans compte Keycloak</w:t>
      </w:r>
    </w:p>
    <w:p>
      <w:pPr>
        <w:pStyle w:val="ListBullet"/>
      </w:pPr>
      <w:r>
        <w:rPr>
          <w:sz w:val="22"/>
        </w:rPr>
        <w:t>Formulaire : prénom, nom, email, téléphone avec validation</w:t>
      </w:r>
    </w:p>
    <w:p>
      <w:pPr>
        <w:pStyle w:val="ListBullet"/>
      </w:pPr>
      <w:r>
        <w:rPr>
          <w:sz w:val="22"/>
        </w:rPr>
        <w:t>Email de confirmation envoyé directement à l'adresse fournie</w:t>
      </w:r>
    </w:p>
    <w:p>
      <w:pPr>
        <w:pStyle w:val="ListBullet"/>
      </w:pPr>
      <w:r>
        <w:rPr>
          <w:sz w:val="22"/>
        </w:rPr>
        <w:t>Validation côté client (format email, numéro de téléphone)</w:t>
      </w:r>
    </w:p>
    <w:p>
      <w:pPr>
        <w:pStyle w:val="Heading2"/>
      </w:pPr>
      <w:r>
        <w:rPr>
          <w:b/>
          <w:color w:val="2E75B6"/>
        </w:rPr>
        <w:t>5.5  Rappels Automatiques J-10 / J-5 / J-3 / J-2 / J-1 / Jour-J</w:t>
      </w:r>
    </w:p>
    <w:p>
      <w:r>
        <w:rPr>
          <w:sz w:val="22"/>
        </w:rPr>
        <w:t>Un système de rappels automatiques par email a été mis en place pour informer les participants inscrits à l'approche de la date d'un événement.</w:t>
      </w:r>
    </w:p>
    <w:p>
      <w:pPr>
        <w:spacing w:before="160" w:after="80"/>
      </w:pPr>
      <w:r>
        <w:rPr>
          <w:b/>
          <w:color w:val="1F497D"/>
          <w:sz w:val="24"/>
        </w:rPr>
        <w:t>Calendrier des rappels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Pr>
                <w:b/>
                <w:color w:val="FFFFFF"/>
              </w:rPr>
              <w:t>Délai</w:t>
            </w:r>
          </w:p>
        </w:tc>
        <w:tc>
          <w:tcPr>
            <w:tcW w:type="dxa" w:w="3135"/>
            <w:shd w:val="clear" w:color="auto" w:fill="2E75B6"/>
          </w:tcPr>
          <w:p>
            <w:r>
              <w:rPr>
                <w:b/>
                <w:color w:val="FFFFFF"/>
              </w:rPr>
              <w:t>Déclenchement</w:t>
            </w:r>
          </w:p>
        </w:tc>
        <w:tc>
          <w:tcPr>
            <w:tcW w:type="dxa" w:w="3135"/>
            <w:shd w:val="clear" w:color="auto" w:fill="2E75B6"/>
          </w:tcPr>
          <w:p>
            <w:r>
              <w:rPr>
                <w:b/>
                <w:color w:val="FFFFFF"/>
              </w:rPr>
              <w:t>Contenu</w:t>
            </w:r>
          </w:p>
        </w:tc>
      </w:tr>
      <w:tr>
        <w:tc>
          <w:tcPr>
            <w:tcW w:type="dxa" w:w="3135"/>
          </w:tcPr>
          <w:p>
            <w:r>
              <w:t>J-10</w:t>
            </w:r>
          </w:p>
        </w:tc>
        <w:tc>
          <w:tcPr>
            <w:tcW w:type="dxa" w:w="3135"/>
          </w:tcPr>
          <w:p>
            <w:r>
              <w:t>10 jours avant</w:t>
            </w:r>
          </w:p>
        </w:tc>
        <w:tc>
          <w:tcPr>
            <w:tcW w:type="dxa" w:w="3135"/>
          </w:tcPr>
          <w:p>
            <w:r>
              <w:t>Rappel préliminaire — confirmer sa participation</w:t>
            </w:r>
          </w:p>
        </w:tc>
      </w:tr>
      <w:tr>
        <w:tc>
          <w:tcPr>
            <w:tcW w:type="dxa" w:w="3135"/>
          </w:tcPr>
          <w:p>
            <w:r>
              <w:t>J-5</w:t>
            </w:r>
          </w:p>
        </w:tc>
        <w:tc>
          <w:tcPr>
            <w:tcW w:type="dxa" w:w="3135"/>
          </w:tcPr>
          <w:p>
            <w:r>
              <w:t>5 jours avant</w:t>
            </w:r>
          </w:p>
        </w:tc>
        <w:tc>
          <w:tcPr>
            <w:tcW w:type="dxa" w:w="3135"/>
          </w:tcPr>
          <w:p>
            <w:r>
              <w:t>Rappel intermédiaire — préparer sa venue</w:t>
            </w:r>
          </w:p>
        </w:tc>
      </w:tr>
      <w:tr>
        <w:tc>
          <w:tcPr>
            <w:tcW w:type="dxa" w:w="3135"/>
          </w:tcPr>
          <w:p>
            <w:r>
              <w:t>J-3</w:t>
            </w:r>
          </w:p>
        </w:tc>
        <w:tc>
          <w:tcPr>
            <w:tcW w:type="dxa" w:w="3135"/>
          </w:tcPr>
          <w:p>
            <w:r>
              <w:t>3 jours avant</w:t>
            </w:r>
          </w:p>
        </w:tc>
        <w:tc>
          <w:tcPr>
            <w:tcW w:type="dxa" w:w="3135"/>
          </w:tcPr>
          <w:p>
            <w:r>
              <w:t>Rappel rapproché — informations pratiques</w:t>
            </w:r>
          </w:p>
        </w:tc>
      </w:tr>
      <w:tr>
        <w:tc>
          <w:tcPr>
            <w:tcW w:type="dxa" w:w="3135"/>
          </w:tcPr>
          <w:p>
            <w:r>
              <w:t>J-2</w:t>
            </w:r>
          </w:p>
        </w:tc>
        <w:tc>
          <w:tcPr>
            <w:tcW w:type="dxa" w:w="3135"/>
          </w:tcPr>
          <w:p>
            <w:r>
              <w:t>2 jours avant</w:t>
            </w:r>
          </w:p>
        </w:tc>
        <w:tc>
          <w:tcPr>
            <w:tcW w:type="dxa" w:w="3135"/>
          </w:tcPr>
          <w:p>
            <w:r>
              <w:t>Rappel de dernière chance</w:t>
            </w:r>
          </w:p>
        </w:tc>
      </w:tr>
      <w:tr>
        <w:tc>
          <w:tcPr>
            <w:tcW w:type="dxa" w:w="3135"/>
          </w:tcPr>
          <w:p>
            <w:r>
              <w:t>J-1</w:t>
            </w:r>
          </w:p>
        </w:tc>
        <w:tc>
          <w:tcPr>
            <w:tcW w:type="dxa" w:w="3135"/>
          </w:tcPr>
          <w:p>
            <w:r>
              <w:t>La veille</w:t>
            </w:r>
          </w:p>
        </w:tc>
        <w:tc>
          <w:tcPr>
            <w:tcW w:type="dxa" w:w="3135"/>
          </w:tcPr>
          <w:p>
            <w:r>
              <w:t>Rappel final — détails de connexion / lieu</w:t>
            </w:r>
          </w:p>
        </w:tc>
      </w:tr>
      <w:tr>
        <w:tc>
          <w:tcPr>
            <w:tcW w:type="dxa" w:w="3135"/>
          </w:tcPr>
          <w:p>
            <w:r>
              <w:t>Jour-J</w:t>
            </w:r>
          </w:p>
        </w:tc>
        <w:tc>
          <w:tcPr>
            <w:tcW w:type="dxa" w:w="3135"/>
          </w:tcPr>
          <w:p>
            <w:r>
              <w:t>Le jour même</w:t>
            </w:r>
          </w:p>
        </w:tc>
        <w:tc>
          <w:tcPr>
            <w:tcW w:type="dxa" w:w="3135"/>
          </w:tcPr>
          <w:p>
            <w:r>
              <w:t>Message de bienvenue le matin de l'événement</w:t>
            </w:r>
          </w:p>
        </w:tc>
      </w:tr>
    </w:tbl>
    <w:p/>
    <w:p>
      <w:pPr>
        <w:spacing w:before="160" w:after="80"/>
      </w:pPr>
      <w:r>
        <w:rPr>
          <w:b/>
          <w:color w:val="1F497D"/>
          <w:sz w:val="24"/>
        </w:rPr>
        <w:t>Implémentation technique</w:t>
      </w:r>
    </w:p>
    <w:p>
      <w:pPr>
        <w:pStyle w:val="ListBullet"/>
      </w:pPr>
      <w:r>
        <w:rPr>
          <w:sz w:val="22"/>
        </w:rPr>
        <w:t>Service Quarkus avec scheduler (Quartz) pour le déclenchement périodique</w:t>
      </w:r>
    </w:p>
    <w:p>
      <w:pPr>
        <w:pStyle w:val="ListBullet"/>
      </w:pPr>
      <w:r>
        <w:rPr>
          <w:sz w:val="22"/>
        </w:rPr>
        <w:t>Vérification quotidienne des événements dont la date correspond aux seuils J-10/J-5/J-3/J-2/J-1/J</w:t>
      </w:r>
    </w:p>
    <w:p>
      <w:pPr>
        <w:pStyle w:val="ListBullet"/>
      </w:pPr>
      <w:r>
        <w:rPr>
          <w:sz w:val="22"/>
        </w:rPr>
        <w:t>Envoi via le notifications-service (canal email SMTP)</w:t>
      </w:r>
    </w:p>
    <w:p>
      <w:pPr>
        <w:pStyle w:val="ListBullet"/>
      </w:pPr>
      <w:r>
        <w:rPr>
          <w:sz w:val="22"/>
        </w:rPr>
        <w:t>Envoi uniquement aux inscriptions au statut CONFIRMED</w:t>
      </w:r>
    </w:p>
    <w:p>
      <w:pPr>
        <w:pStyle w:val="Heading2"/>
      </w:pPr>
      <w:r>
        <w:rPr>
          <w:b/>
          <w:color w:val="2E75B6"/>
        </w:rPr>
        <w:t>5.6  Événements en Ligne avec Lien Google Meet Privé</w:t>
      </w:r>
    </w:p>
    <w:p>
      <w:r>
        <w:rPr>
          <w:sz w:val="22"/>
        </w:rPr>
        <w:t>Les organisateurs peuvent désormais créer des événements en ligne. Un lien Google Meet privé est généré automatiquement et envoyé par email uniquement aux participants inscrits et confirmés.</w:t>
      </w:r>
    </w:p>
    <w:p>
      <w:pPr>
        <w:spacing w:before="160" w:after="80"/>
      </w:pPr>
      <w:r>
        <w:rPr>
          <w:b/>
          <w:color w:val="1F497D"/>
          <w:sz w:val="24"/>
        </w:rPr>
        <w:t>Création d'un événement en ligne</w:t>
      </w:r>
    </w:p>
    <w:p>
      <w:pPr>
        <w:pStyle w:val="ListBullet"/>
      </w:pPr>
      <w:r>
        <w:rPr>
          <w:sz w:val="22"/>
        </w:rPr>
        <w:t>Champ isOnline (booléen) dans le modèle Event — coché à la création dans le BackOffice</w:t>
      </w:r>
    </w:p>
    <w:p>
      <w:pPr>
        <w:pStyle w:val="ListBullet"/>
      </w:pPr>
      <w:r>
        <w:rPr>
          <w:sz w:val="22"/>
        </w:rPr>
        <w:t>Champ meetLink pour stocker l'URL Google Meet générée</w:t>
      </w:r>
    </w:p>
    <w:p>
      <w:pPr>
        <w:pStyle w:val="ListBullet"/>
      </w:pPr>
      <w:r>
        <w:rPr>
          <w:sz w:val="22"/>
        </w:rPr>
        <w:t>Affichage dans le FrontOffice : badge "En ligne — le lien de connexion vous sera envoyé par email"</w:t>
      </w:r>
    </w:p>
    <w:p>
      <w:pPr>
        <w:pStyle w:val="ListBullet"/>
      </w:pPr>
      <w:r>
        <w:rPr>
          <w:sz w:val="22"/>
        </w:rPr>
        <w:t>Le lien Meet n'est pas affiché publiquement sur la page événement</w:t>
      </w:r>
    </w:p>
    <w:p>
      <w:pPr>
        <w:spacing w:before="160" w:after="80"/>
      </w:pPr>
      <w:r>
        <w:rPr>
          <w:b/>
          <w:color w:val="1F497D"/>
          <w:sz w:val="24"/>
        </w:rPr>
        <w:t>Envoi du lien Meet par email</w:t>
      </w:r>
    </w:p>
    <w:p>
      <w:pPr>
        <w:pStyle w:val="ListBullet"/>
      </w:pPr>
      <w:r>
        <w:rPr>
          <w:sz w:val="22"/>
        </w:rPr>
        <w:t>Lien Google Meet envoyé uniquement lors du passage de l'inscription au statut CONFIRMED</w:t>
      </w:r>
    </w:p>
    <w:p>
      <w:pPr>
        <w:pStyle w:val="ListBullet"/>
      </w:pPr>
      <w:r>
        <w:rPr>
          <w:sz w:val="22"/>
        </w:rPr>
        <w:t>Email dédié contenant le lien privé, la date, l'heure et les instructions de connexion</w:t>
      </w:r>
    </w:p>
    <w:p>
      <w:pPr>
        <w:pStyle w:val="ListBullet"/>
      </w:pPr>
      <w:r>
        <w:rPr>
          <w:sz w:val="22"/>
        </w:rPr>
        <w:t>Le lien reste confidentiel — non accessible aux non-inscrits</w:t>
      </w:r>
    </w:p>
    <w:p>
      <w:pPr>
        <w:pStyle w:val="ListBullet"/>
      </w:pPr>
      <w:r>
        <w:rPr>
          <w:sz w:val="22"/>
        </w:rPr>
        <w:t>Rappels J-1 et Jour-J incluent également le lien Meet dans leur contenu</w:t>
      </w:r>
    </w:p>
    <w:p>
      <w:pPr>
        <w:pStyle w:val="Heading2"/>
      </w:pPr>
      <w:r>
        <w:rPr>
          <w:b/>
          <w:color w:val="2E75B6"/>
        </w:rPr>
        <w:t>5.7  Corrections Techniques Majeures</w:t>
      </w:r>
    </w:p>
    <w:p>
      <w:r>
        <w:rPr>
          <w:sz w:val="22"/>
        </w:rPr>
        <w:t>La session a également permis de résoudre plusieurs bugs critiques affectant la cohérence des données et l'expérience utilisateur.</w:t>
      </w:r>
    </w:p>
    <w:p>
      <w:pPr>
        <w:spacing w:before="160" w:after="80"/>
      </w:pPr>
      <w:r>
        <w:rPr>
          <w:b/>
          <w:color w:val="1F497D"/>
          <w:sz w:val="24"/>
        </w:rPr>
        <w:t>Correction du compteur de participants (12 Mai 2026)</w:t>
      </w:r>
    </w:p>
    <w:p>
      <w:pPr>
        <w:pStyle w:val="ListBullet"/>
      </w:pPr>
      <w:r>
        <w:rPr>
          <w:sz w:val="22"/>
        </w:rPr>
        <w:t>Problème : currentParticipants restait bloqué à 0 après une inscription</w:t>
      </w:r>
    </w:p>
    <w:p>
      <w:pPr>
        <w:pStyle w:val="ListBullet"/>
      </w:pPr>
      <w:r>
        <w:rPr>
          <w:sz w:val="22"/>
        </w:rPr>
        <w:t>Cause : aucun consommateur Kafka ne mettait à jour le champ dans l'events-service</w:t>
      </w:r>
    </w:p>
    <w:p>
      <w:pPr>
        <w:pStyle w:val="ListBullet"/>
      </w:pPr>
      <w:r>
        <w:rPr>
          <w:sz w:val="22"/>
        </w:rPr>
        <w:t>Solution : ajout d'un RegistrationConsumer Kafka dans l'events-service écoutant registration.created (→ incrementParticipants) et registration.cancelled (→ decrementParticipants)</w:t>
      </w:r>
    </w:p>
    <w:p>
      <w:pPr>
        <w:pStyle w:val="ListBullet"/>
      </w:pPr>
      <w:r>
        <w:rPr>
          <w:sz w:val="22"/>
        </w:rPr>
        <w:t>Correction rétroactive des données MongoDB existantes via script</w:t>
      </w:r>
    </w:p>
    <w:p>
      <w:pPr>
        <w:spacing w:before="160" w:after="80"/>
      </w:pPr>
      <w:r>
        <w:rPr>
          <w:b/>
          <w:color w:val="1F497D"/>
          <w:sz w:val="24"/>
        </w:rPr>
        <w:t>Correction de l'affichage du nom du participant (12 Mai 2026)</w:t>
      </w:r>
    </w:p>
    <w:p>
      <w:pPr>
        <w:pStyle w:val="ListBullet"/>
      </w:pPr>
      <w:r>
        <w:rPr>
          <w:sz w:val="22"/>
        </w:rPr>
        <w:t>Problème : colonne Participant affichait l'UUID Keycloak au lieu du nom complet</w:t>
      </w:r>
    </w:p>
    <w:p>
      <w:pPr>
        <w:pStyle w:val="ListBullet"/>
      </w:pPr>
      <w:r>
        <w:rPr>
          <w:sz w:val="22"/>
        </w:rPr>
        <w:t>Cause : participantId stocké = UUID Keycloak ≠ ObjectId MongoDB utilisé pour le matching</w:t>
      </w:r>
    </w:p>
    <w:p>
      <w:pPr>
        <w:pStyle w:val="ListBullet"/>
      </w:pPr>
      <w:r>
        <w:rPr>
          <w:sz w:val="22"/>
        </w:rPr>
        <w:t>Solution : double correspondance u.id === participantId || u.keycloakId === participantId</w:t>
      </w:r>
    </w:p>
    <w:p>
      <w:pPr>
        <w:spacing w:before="160" w:after="80"/>
      </w:pPr>
      <w:r>
        <w:rPr>
          <w:b/>
          <w:color w:val="1F497D"/>
          <w:sz w:val="24"/>
        </w:rPr>
        <w:t>Correction du routage Gateway Docker (6 Mai 2026)</w:t>
      </w:r>
    </w:p>
    <w:p>
      <w:pPr>
        <w:pStyle w:val="ListBullet"/>
      </w:pPr>
      <w:r>
        <w:rPr>
          <w:sz w:val="22"/>
        </w:rPr>
        <w:t>Problème : erreurs CORS 503 — routes gateway lb://service-name non résolues (services Quarkus non enregistrés dans Eureka)</w:t>
      </w:r>
    </w:p>
    <w:p>
      <w:pPr>
        <w:pStyle w:val="ListBullet"/>
      </w:pPr>
      <w:r>
        <w:rPr>
          <w:sz w:val="22"/>
        </w:rPr>
        <w:t>Solution : remplacement des URI lb:// par URLs Docker DNS directes (http://service-name:port)</w:t>
      </w:r>
    </w:p>
    <w:p>
      <w:pPr>
        <w:pStyle w:val="ListBullet"/>
      </w:pPr>
      <w:r>
        <w:rPr>
          <w:sz w:val="22"/>
        </w:rPr>
        <w:t>Toutes les routes retournent désormais 200 OK via le gateway</w:t>
      </w:r>
    </w:p>
    <w:p>
      <w:pPr>
        <w:spacing w:before="160" w:after="80"/>
      </w:pPr>
      <w:r>
        <w:rPr>
          <w:b/>
          <w:color w:val="1F497D"/>
          <w:sz w:val="24"/>
        </w:rPr>
        <w:t>Synchronisation des alias de champs Event (6 Mai 2026)</w:t>
      </w:r>
    </w:p>
    <w:p>
      <w:pPr>
        <w:pStyle w:val="ListBullet"/>
      </w:pPr>
      <w:r>
        <w:rPr>
          <w:sz w:val="22"/>
        </w:rPr>
        <w:t>Problème : champs name/title et startDate/startAt stockés sans synchronisation → dates nulles</w:t>
      </w:r>
    </w:p>
    <w:p>
      <w:pPr>
        <w:pStyle w:val="ListBullet"/>
      </w:pPr>
      <w:r>
        <w:rPr>
          <w:sz w:val="22"/>
        </w:rPr>
        <w:t>Solution : méthode create() de EventService synchronise les alias avant persistance</w:t>
      </w:r>
    </w:p>
    <w:p>
      <w:pPr>
        <w:pStyle w:val="ListBullet"/>
      </w:pPr>
      <w:r>
        <w:rPr>
          <w:sz w:val="22"/>
        </w:rPr>
        <w:t>Limite de taille de requête HTTP portée à 10 Mo pour les images base64</w:t>
      </w:r>
    </w:p>
    <w:p>
      <w:pPr>
        <w:spacing w:before="160" w:after="80"/>
      </w:pPr>
      <w:r>
        <w:rPr>
          <w:b/>
          <w:color w:val="1F497D"/>
          <w:sz w:val="24"/>
        </w:rPr>
        <w:t>FrontOffice — Corrections fonctionnelles (11 Mai 2026)</w:t>
      </w:r>
    </w:p>
    <w:p>
      <w:pPr>
        <w:pStyle w:val="ListBullet"/>
      </w:pPr>
      <w:r>
        <w:rPr>
          <w:sz w:val="22"/>
        </w:rPr>
        <w:t>Proxy Vite corrigé : chaque service a sa propre règle de routage</w:t>
      </w:r>
    </w:p>
    <w:p>
      <w:pPr>
        <w:pStyle w:val="ListBullet"/>
      </w:pPr>
      <w:r>
        <w:rPr>
          <w:sz w:val="22"/>
        </w:rPr>
        <w:t>Champ userId → participantId aligné entre FrontOffice et backend</w:t>
      </w:r>
    </w:p>
    <w:p>
      <w:pPr>
        <w:pStyle w:val="ListBullet"/>
      </w:pPr>
      <w:r>
        <w:rPr>
          <w:sz w:val="22"/>
        </w:rPr>
        <w:t>Filtres par catégorie corrigés (CONFERENCE/WORKSHOP/MEETUP/SEMINAR alignés avec le backend)</w:t>
      </w:r>
    </w:p>
    <w:p>
      <w:pPr>
        <w:pStyle w:val="ListBullet"/>
      </w:pPr>
      <w:r>
        <w:rPr>
          <w:sz w:val="22"/>
        </w:rPr>
        <w:t>Dashboard utilisateur : filtre inscriptions corrigé (r.participantId === auth.user.id)</w:t>
      </w:r>
    </w:p>
    <w:p>
      <w:pPr>
        <w:pStyle w:val="Heading2"/>
      </w:pPr>
      <w:r>
        <w:rPr>
          <w:b/>
          <w:color w:val="2E75B6"/>
        </w:rPr>
        <w:t>5.8  FrontOffice React — Interface Participant</w:t>
      </w:r>
    </w:p>
    <w:p>
      <w:r>
        <w:rPr>
          <w:sz w:val="22"/>
        </w:rPr>
        <w:t>Le FrontOffice React a été créé de zéro (44 fichiers, +10 399 lignes) pour offrir une interface dédiée aux participants de la plateforme.</w:t>
      </w:r>
    </w:p>
    <w:p>
      <w:pPr>
        <w:spacing w:before="160" w:after="80"/>
      </w:pPr>
      <w:r>
        <w:rPr>
          <w:b/>
          <w:color w:val="1F497D"/>
          <w:sz w:val="24"/>
        </w:rPr>
        <w:t>Pages disponibles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Pr>
                <w:b/>
                <w:color w:val="FFFFFF"/>
              </w:rPr>
              <w:t>Page</w:t>
            </w:r>
          </w:p>
        </w:tc>
        <w:tc>
          <w:tcPr>
            <w:tcW w:type="dxa" w:w="3135"/>
            <w:shd w:val="clear" w:color="auto" w:fill="2E75B6"/>
          </w:tcPr>
          <w:p>
            <w:r>
              <w:rPr>
                <w:b/>
                <w:color w:val="FFFFFF"/>
              </w:rPr>
              <w:t>Accès</w:t>
            </w:r>
          </w:p>
        </w:tc>
        <w:tc>
          <w:tcPr>
            <w:tcW w:type="dxa" w:w="3135"/>
            <w:shd w:val="clear" w:color="auto" w:fill="2E75B6"/>
          </w:tcPr>
          <w:p>
            <w:r>
              <w:rPr>
                <w:b/>
                <w:color w:val="FFFFFF"/>
              </w:rPr>
              <w:t>Fonctionnalités</w:t>
            </w:r>
          </w:p>
        </w:tc>
      </w:tr>
      <w:tr>
        <w:tc>
          <w:tcPr>
            <w:tcW w:type="dxa" w:w="3135"/>
          </w:tcPr>
          <w:p>
            <w:r>
              <w:t>Accueil (/)</w:t>
            </w:r>
          </w:p>
        </w:tc>
        <w:tc>
          <w:tcPr>
            <w:tcW w:type="dxa" w:w="3135"/>
          </w:tcPr>
          <w:p>
            <w:r>
              <w:t>Public</w:t>
            </w:r>
          </w:p>
        </w:tc>
        <w:tc>
          <w:tcPr>
            <w:tcW w:type="dxa" w:w="3135"/>
          </w:tcPr>
          <w:p>
            <w:r>
              <w:t>Hero LinSoft, recherche globale, catégories, événements vedettes</w:t>
            </w:r>
          </w:p>
        </w:tc>
      </w:tr>
      <w:tr>
        <w:tc>
          <w:tcPr>
            <w:tcW w:type="dxa" w:w="3135"/>
          </w:tcPr>
          <w:p>
            <w:r>
              <w:t>Événements (/events)</w:t>
            </w:r>
          </w:p>
        </w:tc>
        <w:tc>
          <w:tcPr>
            <w:tcW w:type="dxa" w:w="3135"/>
          </w:tcPr>
          <w:p>
            <w:r>
              <w:t>Public</w:t>
            </w:r>
          </w:p>
        </w:tc>
        <w:tc>
          <w:tcPr>
            <w:tcW w:type="dxa" w:w="3135"/>
          </w:tcPr>
          <w:p>
            <w:r>
              <w:t>Liste filtrée par catégorie et statut, tri, compteur résultats</w:t>
            </w:r>
          </w:p>
        </w:tc>
      </w:tr>
      <w:tr>
        <w:tc>
          <w:tcPr>
            <w:tcW w:type="dxa" w:w="3135"/>
          </w:tcPr>
          <w:p>
            <w:r>
              <w:t>Détail (/events/:id)</w:t>
            </w:r>
          </w:p>
        </w:tc>
        <w:tc>
          <w:tcPr>
            <w:tcW w:type="dxa" w:w="3135"/>
          </w:tcPr>
          <w:p>
            <w:r>
              <w:t>Public</w:t>
            </w:r>
          </w:p>
        </w:tc>
        <w:tc>
          <w:tcPr>
            <w:tcW w:type="dxa" w:w="3135"/>
          </w:tcPr>
          <w:p>
            <w:r>
              <w:t>Bannière photo, méta-données, boutons contextuels, inscription visiteur</w:t>
            </w:r>
          </w:p>
        </w:tc>
      </w:tr>
      <w:tr>
        <w:tc>
          <w:tcPr>
            <w:tcW w:type="dxa" w:w="3135"/>
          </w:tcPr>
          <w:p>
            <w:r>
              <w:t>Connexion (/login)</w:t>
            </w:r>
          </w:p>
        </w:tc>
        <w:tc>
          <w:tcPr>
            <w:tcW w:type="dxa" w:w="3135"/>
          </w:tcPr>
          <w:p>
            <w:r>
              <w:t>Public</w:t>
            </w:r>
          </w:p>
        </w:tc>
        <w:tc>
          <w:tcPr>
            <w:tcW w:type="dxa" w:w="3135"/>
          </w:tcPr>
          <w:p>
            <w:r>
              <w:t>Formulaire JWT/Keycloak avec validation</w:t>
            </w:r>
          </w:p>
        </w:tc>
      </w:tr>
      <w:tr>
        <w:tc>
          <w:tcPr>
            <w:tcW w:type="dxa" w:w="3135"/>
          </w:tcPr>
          <w:p>
            <w:r>
              <w:t>Inscription (/register)</w:t>
            </w:r>
          </w:p>
        </w:tc>
        <w:tc>
          <w:tcPr>
            <w:tcW w:type="dxa" w:w="3135"/>
          </w:tcPr>
          <w:p>
            <w:r>
              <w:t>Public</w:t>
            </w:r>
          </w:p>
        </w:tc>
        <w:tc>
          <w:tcPr>
            <w:tcW w:type="dxa" w:w="3135"/>
          </w:tcPr>
          <w:p>
            <w:r>
              <w:t>OAuth social (Google, GitHub, LinkedIn) + formulaire email</w:t>
            </w:r>
          </w:p>
        </w:tc>
      </w:tr>
      <w:tr>
        <w:tc>
          <w:tcPr>
            <w:tcW w:type="dxa" w:w="3135"/>
          </w:tcPr>
          <w:p>
            <w:r>
              <w:t>Tableau de bord (/dashboard)</w:t>
            </w:r>
          </w:p>
        </w:tc>
        <w:tc>
          <w:tcPr>
            <w:tcW w:type="dxa" w:w="3135"/>
          </w:tcPr>
          <w:p>
            <w:r>
              <w:t>Protégé</w:t>
            </w:r>
          </w:p>
        </w:tc>
        <w:tc>
          <w:tcPr>
            <w:tcW w:type="dxa" w:w="3135"/>
          </w:tcPr>
          <w:p>
            <w:r>
              <w:t>Statistiques personnelles, liste inscriptions filtrée</w:t>
            </w:r>
          </w:p>
        </w:tc>
      </w:tr>
      <w:tr>
        <w:tc>
          <w:tcPr>
            <w:tcW w:type="dxa" w:w="3135"/>
          </w:tcPr>
          <w:p>
            <w:r>
              <w:t>Profil (/profile)</w:t>
            </w:r>
          </w:p>
        </w:tc>
        <w:tc>
          <w:tcPr>
            <w:tcW w:type="dxa" w:w="3135"/>
          </w:tcPr>
          <w:p>
            <w:r>
              <w:t>Protégé</w:t>
            </w:r>
          </w:p>
        </w:tc>
        <w:tc>
          <w:tcPr>
            <w:tcW w:type="dxa" w:w="3135"/>
          </w:tcPr>
          <w:p>
            <w:r>
              <w:t>Modification prénom/nom/téléphone, avatar modifiable</w:t>
            </w:r>
          </w:p>
        </w:tc>
      </w:tr>
    </w:tbl>
    <w:p/>
    <w:p>
      <w:pPr>
        <w:spacing w:before="160" w:after="80"/>
      </w:pPr>
      <w:r>
        <w:rPr>
          <w:b/>
          <w:color w:val="1F497D"/>
          <w:sz w:val="24"/>
        </w:rPr>
        <w:t>Authentification et sécurité</w:t>
      </w:r>
    </w:p>
    <w:p>
      <w:pPr>
        <w:pStyle w:val="ListBullet"/>
      </w:pPr>
      <w:r>
        <w:rPr>
          <w:sz w:val="22"/>
        </w:rPr>
        <w:t>AuthContext + hook useAuth() : gestion du JWT via Keycloak</w:t>
      </w:r>
    </w:p>
    <w:p>
      <w:pPr>
        <w:pStyle w:val="ListBullet"/>
      </w:pPr>
      <w:r>
        <w:rPr>
          <w:sz w:val="22"/>
        </w:rPr>
        <w:t>Intercepteur Axios : token Bearer automatique + auto-logout sur 401</w:t>
      </w:r>
    </w:p>
    <w:p>
      <w:pPr>
        <w:pStyle w:val="ListBullet"/>
      </w:pPr>
      <w:r>
        <w:rPr>
          <w:sz w:val="22"/>
        </w:rPr>
        <w:t>ProtectedRoute : redirection vers /login si non authentifié</w:t>
      </w:r>
    </w:p>
    <w:p>
      <w:pPr>
        <w:pStyle w:val="ListBullet"/>
      </w:pPr>
      <w:r>
        <w:rPr>
          <w:sz w:val="22"/>
        </w:rPr>
        <w:t>OAuth social : Google, GitHub, LinkedIn via Keycloak IdP</w:t>
      </w:r>
    </w:p>
    <w:p>
      <w:pPr>
        <w:pStyle w:val="Heading2"/>
      </w:pPr>
      <w:r>
        <w:rPr>
          <w:b/>
          <w:color w:val="2E75B6"/>
        </w:rPr>
        <w:t>5.9  Récapitulatif du Commit da72185</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Pr>
                <w:b/>
                <w:color w:val="FFFFFF"/>
              </w:rPr>
              <w:t>Fonctionnalité</w:t>
            </w:r>
          </w:p>
        </w:tc>
        <w:tc>
          <w:tcPr>
            <w:tcW w:type="dxa" w:w="3135"/>
            <w:shd w:val="clear" w:color="auto" w:fill="2E75B6"/>
          </w:tcPr>
          <w:p>
            <w:r>
              <w:rPr>
                <w:b/>
                <w:color w:val="FFFFFF"/>
              </w:rPr>
              <w:t>Périmètre</w:t>
            </w:r>
          </w:p>
        </w:tc>
        <w:tc>
          <w:tcPr>
            <w:tcW w:type="dxa" w:w="3135"/>
            <w:shd w:val="clear" w:color="auto" w:fill="2E75B6"/>
          </w:tcPr>
          <w:p>
            <w:r>
              <w:rPr>
                <w:b/>
                <w:color w:val="FFFFFF"/>
              </w:rPr>
              <w:t>Statut</w:t>
            </w:r>
          </w:p>
        </w:tc>
      </w:tr>
      <w:tr>
        <w:tc>
          <w:tcPr>
            <w:tcW w:type="dxa" w:w="3135"/>
          </w:tcPr>
          <w:p>
            <w:r>
              <w:t>Refonte design BackOffice</w:t>
            </w:r>
          </w:p>
        </w:tc>
        <w:tc>
          <w:tcPr>
            <w:tcW w:type="dxa" w:w="3135"/>
          </w:tcPr>
          <w:p>
            <w:r>
              <w:t>BackOffice Angular</w:t>
            </w:r>
          </w:p>
        </w:tc>
        <w:tc>
          <w:tcPr>
            <w:tcW w:type="dxa" w:w="3135"/>
          </w:tcPr>
          <w:p>
            <w:r>
              <w:t>Terminé ✅</w:t>
            </w:r>
          </w:p>
        </w:tc>
      </w:tr>
      <w:tr>
        <w:tc>
          <w:tcPr>
            <w:tcW w:type="dxa" w:w="3135"/>
          </w:tcPr>
          <w:p>
            <w:r>
              <w:t>Avatar de profil modifiable</w:t>
            </w:r>
          </w:p>
        </w:tc>
        <w:tc>
          <w:tcPr>
            <w:tcW w:type="dxa" w:w="3135"/>
          </w:tcPr>
          <w:p>
            <w:r>
              <w:t>FrontOffice React</w:t>
            </w:r>
          </w:p>
        </w:tc>
        <w:tc>
          <w:tcPr>
            <w:tcW w:type="dxa" w:w="3135"/>
          </w:tcPr>
          <w:p>
            <w:r>
              <w:t>Terminé ✅</w:t>
            </w:r>
          </w:p>
        </w:tc>
      </w:tr>
      <w:tr>
        <w:tc>
          <w:tcPr>
            <w:tcW w:type="dxa" w:w="3135"/>
          </w:tcPr>
          <w:p>
            <w:r>
              <w:t>Traduction française complète</w:t>
            </w:r>
          </w:p>
        </w:tc>
        <w:tc>
          <w:tcPr>
            <w:tcW w:type="dxa" w:w="3135"/>
          </w:tcPr>
          <w:p>
            <w:r>
              <w:t>FrontOffice + BackOffice</w:t>
            </w:r>
          </w:p>
        </w:tc>
        <w:tc>
          <w:tcPr>
            <w:tcW w:type="dxa" w:w="3135"/>
          </w:tcPr>
          <w:p>
            <w:r>
              <w:t>Terminé ✅</w:t>
            </w:r>
          </w:p>
        </w:tc>
      </w:tr>
      <w:tr>
        <w:tc>
          <w:tcPr>
            <w:tcW w:type="dxa" w:w="3135"/>
          </w:tcPr>
          <w:p>
            <w:r>
              <w:t>Emails d'inscription (participant + visiteur)</w:t>
            </w:r>
          </w:p>
        </w:tc>
        <w:tc>
          <w:tcPr>
            <w:tcW w:type="dxa" w:w="3135"/>
          </w:tcPr>
          <w:p>
            <w:r>
              <w:t>notifications-service</w:t>
            </w:r>
          </w:p>
        </w:tc>
        <w:tc>
          <w:tcPr>
            <w:tcW w:type="dxa" w:w="3135"/>
          </w:tcPr>
          <w:p>
            <w:r>
              <w:t>Terminé ✅</w:t>
            </w:r>
          </w:p>
        </w:tc>
      </w:tr>
      <w:tr>
        <w:tc>
          <w:tcPr>
            <w:tcW w:type="dxa" w:w="3135"/>
          </w:tcPr>
          <w:p>
            <w:r>
              <w:t>Rappels automatiques J-10/J-5/J-3/J-2/J-1/Jour-J</w:t>
            </w:r>
          </w:p>
        </w:tc>
        <w:tc>
          <w:tcPr>
            <w:tcW w:type="dxa" w:w="3135"/>
          </w:tcPr>
          <w:p>
            <w:r>
              <w:t>notifications-service</w:t>
            </w:r>
          </w:p>
        </w:tc>
        <w:tc>
          <w:tcPr>
            <w:tcW w:type="dxa" w:w="3135"/>
          </w:tcPr>
          <w:p>
            <w:r>
              <w:t>Terminé ✅</w:t>
            </w:r>
          </w:p>
        </w:tc>
      </w:tr>
      <w:tr>
        <w:tc>
          <w:tcPr>
            <w:tcW w:type="dxa" w:w="3135"/>
          </w:tcPr>
          <w:p>
            <w:r>
              <w:t>Événements en ligne + lien Google Meet privé</w:t>
            </w:r>
          </w:p>
        </w:tc>
        <w:tc>
          <w:tcPr>
            <w:tcW w:type="dxa" w:w="3135"/>
          </w:tcPr>
          <w:p>
            <w:r>
              <w:t>events-service + FrontOffice</w:t>
            </w:r>
          </w:p>
        </w:tc>
        <w:tc>
          <w:tcPr>
            <w:tcW w:type="dxa" w:w="3135"/>
          </w:tcPr>
          <w:p>
            <w:r>
              <w:t>Terminé ✅</w:t>
            </w:r>
          </w:p>
        </w:tc>
      </w:tr>
      <w:tr>
        <w:tc>
          <w:tcPr>
            <w:tcW w:type="dxa" w:w="3135"/>
          </w:tcPr>
          <w:p>
            <w:r>
              <w:t>Compteur participants via Kafka</w:t>
            </w:r>
          </w:p>
        </w:tc>
        <w:tc>
          <w:tcPr>
            <w:tcW w:type="dxa" w:w="3135"/>
          </w:tcPr>
          <w:p>
            <w:r>
              <w:t>events-service</w:t>
            </w:r>
          </w:p>
        </w:tc>
        <w:tc>
          <w:tcPr>
            <w:tcW w:type="dxa" w:w="3135"/>
          </w:tcPr>
          <w:p>
            <w:r>
              <w:t>Terminé ✅</w:t>
            </w:r>
          </w:p>
        </w:tc>
      </w:tr>
      <w:tr>
        <w:tc>
          <w:tcPr>
            <w:tcW w:type="dxa" w:w="3135"/>
          </w:tcPr>
          <w:p>
            <w:r>
              <w:t>Correction nom participant (UUID → nom)</w:t>
            </w:r>
          </w:p>
        </w:tc>
        <w:tc>
          <w:tcPr>
            <w:tcW w:type="dxa" w:w="3135"/>
          </w:tcPr>
          <w:p>
            <w:r>
              <w:t>BackOffice</w:t>
            </w:r>
          </w:p>
        </w:tc>
        <w:tc>
          <w:tcPr>
            <w:tcW w:type="dxa" w:w="3135"/>
          </w:tcPr>
          <w:p>
            <w:r>
              <w:t>Terminé ✅</w:t>
            </w:r>
          </w:p>
        </w:tc>
      </w:tr>
      <w:tr>
        <w:tc>
          <w:tcPr>
            <w:tcW w:type="dxa" w:w="3135"/>
          </w:tcPr>
          <w:p>
            <w:r>
              <w:t>Correction routage Gateway Docker</w:t>
            </w:r>
          </w:p>
        </w:tc>
        <w:tc>
          <w:tcPr>
            <w:tcW w:type="dxa" w:w="3135"/>
          </w:tcPr>
          <w:p>
            <w:r>
              <w:t>docker-compose.yml</w:t>
            </w:r>
          </w:p>
        </w:tc>
        <w:tc>
          <w:tcPr>
            <w:tcW w:type="dxa" w:w="3135"/>
          </w:tcPr>
          <w:p>
            <w:r>
              <w:t>Terminé ✅</w:t>
            </w:r>
          </w:p>
        </w:tc>
      </w:tr>
      <w:tr>
        <w:tc>
          <w:tcPr>
            <w:tcW w:type="dxa" w:w="3135"/>
          </w:tcPr>
          <w:p>
            <w:r>
              <w:t>Correction proxy Vite FrontOffice</w:t>
            </w:r>
          </w:p>
        </w:tc>
        <w:tc>
          <w:tcPr>
            <w:tcW w:type="dxa" w:w="3135"/>
          </w:tcPr>
          <w:p>
            <w:r>
              <w:t>FrontOffice</w:t>
            </w:r>
          </w:p>
        </w:tc>
        <w:tc>
          <w:tcPr>
            <w:tcW w:type="dxa" w:w="3135"/>
          </w:tcPr>
          <w:p>
            <w:r>
              <w:t>Terminé ✅</w:t>
            </w:r>
          </w:p>
        </w:tc>
      </w:tr>
      <w:tr>
        <w:tc>
          <w:tcPr>
            <w:tcW w:type="dxa" w:w="3135"/>
          </w:tcPr>
          <w:p>
            <w:r>
              <w:t>Études IA Python (3 modèles)</w:t>
            </w:r>
          </w:p>
        </w:tc>
        <w:tc>
          <w:tcPr>
            <w:tcW w:type="dxa" w:w="3135"/>
          </w:tcPr>
          <w:p>
            <w:r>
              <w:t>ia-studies/</w:t>
            </w:r>
          </w:p>
        </w:tc>
        <w:tc>
          <w:tcPr>
            <w:tcW w:type="dxa" w:w="3135"/>
          </w:tcPr>
          <w:p>
            <w:r>
              <w:t>Terminé ✅</w:t>
            </w:r>
          </w:p>
        </w:tc>
      </w:tr>
      <w:tr>
        <w:tc>
          <w:tcPr>
            <w:tcW w:type="dxa" w:w="3135"/>
          </w:tcPr>
          <w:p>
            <w:r>
              <w:t>Inscription visiteur sans compte</w:t>
            </w:r>
          </w:p>
        </w:tc>
        <w:tc>
          <w:tcPr>
            <w:tcW w:type="dxa" w:w="3135"/>
          </w:tcPr>
          <w:p>
            <w:r>
              <w:t>FrontOffice + registrations-service</w:t>
            </w:r>
          </w:p>
        </w:tc>
        <w:tc>
          <w:tcPr>
            <w:tcW w:type="dxa" w:w="3135"/>
          </w:tcPr>
          <w:p>
            <w:r>
              <w:t>Terminé ✅</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