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3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non</w:t>
      </w:r>
      <w:r>
        <w:t xml:space="preserve"> </w:t>
      </w:r>
      <w:r>
        <w:t xml:space="preserve">apparié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OTB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OTB</w:t>
            </w:r>
          </w:p>
        </w:tc>
        <w:tc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33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3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s durées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des durées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s profondeurs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des profondeurs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Histogramme de la vitesse de l’engin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Histogramme de la vitesse de l’engin.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Etat de la mer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Etat de la mer.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31"/>
    <w:bookmarkStart w:id="32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End w:id="33"/>
    <w:bookmarkStart w:id="51" w:name="analyse-des-captures"/>
    <w:p>
      <w:pPr>
        <w:pStyle w:val="Heading1"/>
      </w:pPr>
      <w:r>
        <w:t xml:space="preserve">2. Analyse des captures</w:t>
      </w:r>
    </w:p>
    <w:bookmarkStart w:id="41" w:name="capture-totale"/>
    <w:p>
      <w:pPr>
        <w:pStyle w:val="Heading2"/>
      </w:pPr>
      <w:r>
        <w:t xml:space="preserve">2.1. Capture totale</w:t>
      </w:r>
    </w:p>
    <w:bookmarkStart w:id="34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34"/>
    <w:bookmarkStart w:id="36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Durée du tri de la capture par opération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36"/>
    <w:bookmarkStart w:id="37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p>
      <w:pPr>
        <w:pStyle w:val="SourceCode"/>
      </w:pPr>
      <w:r>
        <w:rPr>
          <w:rStyle w:val="VerbatimChar"/>
        </w:rPr>
        <w:t xml:space="preserve">Une perte de NA % de la durée de tri est observée pour l'engin testé sur l’ensemble des OPs suivies.</w:t>
      </w:r>
    </w:p>
    <w:bookmarkEnd w:id="37"/>
    <w:bookmarkStart w:id="39" w:name="poids-des-rejets"/>
    <w:p>
      <w:pPr>
        <w:pStyle w:val="Heading3"/>
      </w:pPr>
      <w:r>
        <w:t xml:space="preserve">Poids des rejets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ids total des rejets par opération de pêche.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Poids total des rejets par opération de pêche.</w:t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standard et l'engin testé.</w:t>
      </w:r>
    </w:p>
    <w:p>
      <w:pPr>
        <w:pStyle w:val="SourceCode"/>
      </w:pPr>
      <w:r>
        <w:rPr>
          <w:rStyle w:val="VerbatimChar"/>
        </w:rPr>
        <w:t xml:space="preserve">Il y a en médiane 22.632 kg de moins dans l'engin testé comparé à l'engin standard (p-value= 0.1408 ).</w:t>
      </w:r>
    </w:p>
    <w:bookmarkEnd w:id="39"/>
    <w:bookmarkStart w:id="40" w:name="X8af3fc20750904133f30d97650b96b2ec7429c7"/>
    <w:p>
      <w:pPr>
        <w:pStyle w:val="Heading3"/>
      </w:pPr>
      <w:r>
        <w:t xml:space="preserve">Taux de variation des poids rejetés totaux de l’engin testé par rapport à l’engin standard</w:t>
      </w:r>
    </w:p>
    <w:p>
      <w:pPr>
        <w:pStyle w:val="SourceCode"/>
      </w:pPr>
      <w:r>
        <w:rPr>
          <w:rStyle w:val="VerbatimChar"/>
        </w:rPr>
        <w:t xml:space="preserve">Une perte de -24.11 % de rejets en poids est observée dans l'engin testé en considérant le poids de l’ensemble des rejets des OPs suivies.</w:t>
      </w:r>
    </w:p>
    <w:bookmarkEnd w:id="40"/>
    <w:bookmarkEnd w:id="41"/>
    <w:bookmarkStart w:id="50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4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42"/>
    <w:bookmarkStart w:id="49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 Lophius spp Merluccius merluccius ,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926"/>
        <w:gridCol w:w="570"/>
        <w:gridCol w:w="1712"/>
        <w:gridCol w:w="1712"/>
        <w:gridCol w:w="1997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-16.99</w:t>
            </w:r>
          </w:p>
        </w:tc>
        <w:tc>
          <w:p>
            <w:pPr>
              <w:pStyle w:val="Compact"/>
              <w:jc w:val="left"/>
            </w:pPr>
            <w:r>
              <w:t xml:space="preserve">-16.99*</w:t>
            </w:r>
          </w:p>
        </w:tc>
        <w:tc>
          <w:p>
            <w:pPr>
              <w:pStyle w:val="Compact"/>
              <w:jc w:val="right"/>
            </w:pPr>
            <w:r>
              <w:t xml:space="preserve">-43.86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-29.29</w:t>
            </w:r>
          </w:p>
        </w:tc>
        <w:tc>
          <w:p>
            <w:pPr>
              <w:pStyle w:val="Compact"/>
              <w:jc w:val="left"/>
            </w:pPr>
            <w:r>
              <w:t xml:space="preserve">-29.29*</w:t>
            </w:r>
          </w:p>
        </w:tc>
        <w:tc>
          <w:p>
            <w:pPr>
              <w:pStyle w:val="Compact"/>
              <w:jc w:val="right"/>
            </w:pPr>
            <w:r>
              <w:t xml:space="preserve">-21.42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16.03</w:t>
            </w:r>
          </w:p>
        </w:tc>
        <w:tc>
          <w:p>
            <w:pPr>
              <w:pStyle w:val="Compact"/>
              <w:jc w:val="left"/>
            </w:pPr>
            <w:r>
              <w:t xml:space="preserve">16.03*</w:t>
            </w:r>
          </w:p>
        </w:tc>
        <w:tc>
          <w:p>
            <w:pPr>
              <w:pStyle w:val="Compact"/>
              <w:jc w:val="right"/>
            </w:pPr>
            <w:r>
              <w:t xml:space="preserve">64.08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-14.74</w:t>
            </w:r>
          </w:p>
        </w:tc>
        <w:tc>
          <w:p>
            <w:pPr>
              <w:pStyle w:val="Compact"/>
              <w:jc w:val="left"/>
            </w:pPr>
            <w:r>
              <w:t xml:space="preserve">-14.74*</w:t>
            </w:r>
          </w:p>
        </w:tc>
        <w:tc>
          <w:p>
            <w:pPr>
              <w:pStyle w:val="Compact"/>
              <w:jc w:val="right"/>
            </w:pPr>
            <w:r>
              <w:t xml:space="preserve">-76.23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-22.18</w:t>
            </w:r>
          </w:p>
        </w:tc>
        <w:tc>
          <w:p>
            <w:pPr>
              <w:pStyle w:val="Compact"/>
              <w:jc w:val="left"/>
            </w:pPr>
            <w:r>
              <w:t xml:space="preserve">-22.18*</w:t>
            </w:r>
          </w:p>
        </w:tc>
        <w:tc>
          <w:p>
            <w:pPr>
              <w:pStyle w:val="Compact"/>
              <w:jc w:val="right"/>
            </w:pPr>
            <w:r>
              <w:t xml:space="preserve">-72.00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-50.56</w:t>
            </w:r>
          </w:p>
        </w:tc>
        <w:tc>
          <w:p>
            <w:pPr>
              <w:pStyle w:val="Compact"/>
              <w:jc w:val="left"/>
            </w:pPr>
            <w:r>
              <w:t xml:space="preserve">-50.56*</w:t>
            </w:r>
          </w:p>
        </w:tc>
        <w:tc>
          <w:p>
            <w:pPr>
              <w:pStyle w:val="Compact"/>
              <w:jc w:val="right"/>
            </w:pPr>
            <w:r>
              <w:t xml:space="preserve">-82.21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643"/>
        <w:gridCol w:w="597"/>
        <w:gridCol w:w="1793"/>
        <w:gridCol w:w="1793"/>
        <w:gridCol w:w="2092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-43.14</w:t>
            </w:r>
          </w:p>
        </w:tc>
        <w:tc>
          <w:p>
            <w:pPr>
              <w:pStyle w:val="Compact"/>
              <w:jc w:val="left"/>
            </w:pPr>
            <w:r>
              <w:t xml:space="preserve">-43.14*</w:t>
            </w:r>
          </w:p>
        </w:tc>
        <w:tc>
          <w:p>
            <w:pPr>
              <w:pStyle w:val="Compact"/>
              <w:jc w:val="right"/>
            </w:pPr>
            <w:r>
              <w:t xml:space="preserve">-40.77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left"/>
            </w:pPr>
            <w:r>
              <w:t xml:space="preserve">14.3*</w:t>
            </w:r>
          </w:p>
        </w:tc>
        <w:tc>
          <w:p>
            <w:pPr>
              <w:pStyle w:val="Compact"/>
              <w:jc w:val="right"/>
            </w:pPr>
            <w:r>
              <w:t xml:space="preserve">48.84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p>
            <w:pPr>
              <w:pStyle w:val="Compact"/>
              <w:jc w:val="left"/>
            </w:pPr>
            <w:r>
              <w:t xml:space="preserve">-14.31</w:t>
            </w:r>
          </w:p>
        </w:tc>
        <w:tc>
          <w:p>
            <w:pPr>
              <w:pStyle w:val="Compact"/>
              <w:jc w:val="left"/>
            </w:pPr>
            <w:r>
              <w:t xml:space="preserve">-14.31*</w:t>
            </w:r>
          </w:p>
        </w:tc>
        <w:tc>
          <w:p>
            <w:pPr>
              <w:pStyle w:val="Compact"/>
              <w:jc w:val="right"/>
            </w:pPr>
            <w:r>
              <w:t xml:space="preserve">-33.95</w:t>
            </w:r>
          </w:p>
        </w:tc>
      </w:tr>
    </w:tbl>
    <w:bookmarkEnd w:id="49"/>
    <w:bookmarkEnd w:id="50"/>
    <w:bookmarkEnd w:id="51"/>
    <w:bookmarkStart w:id="79" w:name="etude-de-la-sélectivité-en-taille"/>
    <w:p>
      <w:pPr>
        <w:pStyle w:val="Heading1"/>
      </w:pPr>
      <w:r>
        <w:t xml:space="preserve">3. Etude de la sélectivité en taille</w:t>
      </w:r>
    </w:p>
    <w:bookmarkStart w:id="52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52"/>
    <w:bookmarkStart w:id="71" w:name="X3d71c52ee00da59f6da656b5018f9582791c68b"/>
    <w:p>
      <w:pPr>
        <w:pStyle w:val="Heading3"/>
      </w:pPr>
      <w:r>
        <w:t xml:space="preserve">Pour chaque espèce, distribution en tailles des débarquements et rejets par engin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ux d’échappement de l’engin test par rapport au standard."/>
      </w:tblPr>
      <w:tblGrid/>
      <w:tr>
        <w:tc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71"/>
    <w:bookmarkStart w:id="78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mmorfin/Documents/IFREMER/InseR/Developpement_Package/Package/Outputs/fiche_InseR_unpaired_files/figure-docx/unnamed-chunk-2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2023-04-14T07:50:23Z</dcterms:created>
  <dcterms:modified xsi:type="dcterms:W3CDTF">2023-04-14T07:50:23Z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non apparié</vt:lpwstr>
  </property>
</Properties>
</file>