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391" w:rsidRPr="008D7A79" w:rsidRDefault="0006766D" w:rsidP="0006766D">
      <w:pPr>
        <w:jc w:val="center"/>
        <w:rPr>
          <w:rFonts w:ascii="Arial" w:hAnsi="Arial" w:cs="Arial"/>
          <w:b/>
          <w:i/>
          <w:color w:val="1F1F1F"/>
          <w:sz w:val="24"/>
          <w:szCs w:val="24"/>
          <w:shd w:val="clear" w:color="auto" w:fill="FFFFFF"/>
        </w:rPr>
      </w:pPr>
      <w:r w:rsidRPr="008D7A79">
        <w:rPr>
          <w:rFonts w:ascii="Arial" w:hAnsi="Arial" w:cs="Arial"/>
          <w:b/>
          <w:i/>
          <w:color w:val="1F1F1F"/>
          <w:sz w:val="21"/>
          <w:szCs w:val="21"/>
        </w:rPr>
        <w:br/>
      </w:r>
      <w:r w:rsidRPr="008D7A79">
        <w:rPr>
          <w:rFonts w:ascii="Arial" w:hAnsi="Arial" w:cs="Arial"/>
          <w:b/>
          <w:i/>
          <w:color w:val="1F1F1F"/>
          <w:sz w:val="24"/>
          <w:szCs w:val="24"/>
          <w:shd w:val="clear" w:color="auto" w:fill="FFFFFF"/>
        </w:rPr>
        <w:t>  ¿Qué métodos de recuperación secundaria se utilizan cuando la presión natural del yacimiento disminuye?  </w:t>
      </w:r>
    </w:p>
    <w:p w:rsidR="0006766D" w:rsidRDefault="0006766D" w:rsidP="0006766D">
      <w:pPr>
        <w:jc w:val="both"/>
        <w:rPr>
          <w:rFonts w:ascii="Arial" w:hAnsi="Arial" w:cs="Arial"/>
          <w:color w:val="000000"/>
          <w:shd w:val="clear" w:color="auto" w:fill="FFFFFF"/>
        </w:rPr>
      </w:pPr>
      <w:r w:rsidRPr="008D7A79">
        <w:rPr>
          <w:rFonts w:ascii="Arial" w:hAnsi="Arial" w:cs="Arial"/>
          <w:color w:val="000000"/>
          <w:sz w:val="24"/>
          <w:szCs w:val="24"/>
          <w:shd w:val="clear" w:color="auto" w:fill="FFFFFF"/>
        </w:rPr>
        <w:t>Segunda etapa de producción de hidrocarburos durante la cual un fluido externo, como agua o gas, se inyecta en el yacimiento a través de pozos de inyección ubicados en la roca que tengan comunicación de fluidos con los pozos productores. El propósito de la recuperación secundaria es mantener la presión del yacimiento y desplazar los hidrocarburos hacia el pozo. Las técnicas de recuperación secundaria más comunes son la inyección de gas y la inundación con agua. Normalmente, el gas se inyecta en el casquete de gas y el agua se inyecta en la zona de producción para barrer el petróleo del yacimiento. Durante la etapa de recuperación primaria, puede comenzar un programa de mantenimiento de la presión, pero es una forma de recuperación mejorada. La etapa de recuperación secundaria alcanza su límite cuando el fluido inyectado (agua o gas) se produce en cantidades considerables de los pozos productores y la producción deja de ser económica. El uso sucesivo de la recuperación primaria y la recuperación secundaria en un yacimiento de petróleo produce alrededor del 15% al 40% del petróleo original existente en el lugar</w:t>
      </w:r>
      <w:r>
        <w:rPr>
          <w:rFonts w:ascii="Arial" w:hAnsi="Arial" w:cs="Arial"/>
          <w:color w:val="000000"/>
          <w:shd w:val="clear" w:color="auto" w:fill="FFFFFF"/>
        </w:rPr>
        <w:t>.</w:t>
      </w:r>
    </w:p>
    <w:p w:rsidR="008D7A79" w:rsidRDefault="008D7A79" w:rsidP="0006766D">
      <w:pPr>
        <w:jc w:val="both"/>
      </w:pPr>
      <w:r w:rsidRPr="008D7A79">
        <w:drawing>
          <wp:inline distT="0" distB="0" distL="0" distR="0" wp14:anchorId="3C63B082" wp14:editId="7B6F7985">
            <wp:extent cx="5039428" cy="3572374"/>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9428" cy="3572374"/>
                    </a:xfrm>
                    <a:prstGeom prst="rect">
                      <a:avLst/>
                    </a:prstGeom>
                  </pic:spPr>
                </pic:pic>
              </a:graphicData>
            </a:graphic>
          </wp:inline>
        </w:drawing>
      </w:r>
    </w:p>
    <w:p w:rsidR="008D7A79" w:rsidRDefault="008D7A79" w:rsidP="0006766D">
      <w:pPr>
        <w:jc w:val="both"/>
        <w:rPr>
          <w:rFonts w:ascii="Arial" w:hAnsi="Arial" w:cs="Arial"/>
          <w:b/>
          <w:i/>
          <w:sz w:val="24"/>
          <w:szCs w:val="24"/>
        </w:rPr>
      </w:pPr>
    </w:p>
    <w:p w:rsidR="008D7A79" w:rsidRDefault="008D7A79" w:rsidP="0006766D">
      <w:pPr>
        <w:jc w:val="both"/>
        <w:rPr>
          <w:rFonts w:ascii="Arial" w:hAnsi="Arial" w:cs="Arial"/>
          <w:b/>
          <w:i/>
          <w:sz w:val="24"/>
          <w:szCs w:val="24"/>
        </w:rPr>
      </w:pPr>
    </w:p>
    <w:p w:rsidR="008D7A79" w:rsidRDefault="008D7A79" w:rsidP="0006766D">
      <w:pPr>
        <w:jc w:val="both"/>
        <w:rPr>
          <w:rFonts w:ascii="Arial" w:hAnsi="Arial" w:cs="Arial"/>
          <w:b/>
          <w:i/>
          <w:sz w:val="24"/>
          <w:szCs w:val="24"/>
        </w:rPr>
      </w:pPr>
    </w:p>
    <w:p w:rsidR="008D7A79" w:rsidRDefault="008D7A79" w:rsidP="0006766D">
      <w:pPr>
        <w:jc w:val="both"/>
        <w:rPr>
          <w:rFonts w:ascii="Arial" w:hAnsi="Arial" w:cs="Arial"/>
          <w:b/>
          <w:i/>
          <w:sz w:val="24"/>
          <w:szCs w:val="24"/>
        </w:rPr>
      </w:pPr>
    </w:p>
    <w:p w:rsidR="008D7A79" w:rsidRDefault="008D7A79" w:rsidP="0006766D">
      <w:pPr>
        <w:jc w:val="both"/>
        <w:rPr>
          <w:rFonts w:ascii="Arial" w:hAnsi="Arial" w:cs="Arial"/>
          <w:b/>
          <w:i/>
          <w:sz w:val="24"/>
          <w:szCs w:val="24"/>
        </w:rPr>
      </w:pPr>
      <w:r>
        <w:rPr>
          <w:rFonts w:ascii="Arial" w:hAnsi="Arial" w:cs="Arial"/>
          <w:b/>
          <w:i/>
          <w:sz w:val="24"/>
          <w:szCs w:val="24"/>
        </w:rPr>
        <w:lastRenderedPageBreak/>
        <w:t>Bibliografí</w:t>
      </w:r>
      <w:r w:rsidRPr="008D7A79">
        <w:rPr>
          <w:rFonts w:ascii="Arial" w:hAnsi="Arial" w:cs="Arial"/>
          <w:b/>
          <w:i/>
          <w:sz w:val="24"/>
          <w:szCs w:val="24"/>
        </w:rPr>
        <w:t>a:</w:t>
      </w:r>
    </w:p>
    <w:p w:rsidR="008D7A79" w:rsidRPr="008D7A79" w:rsidRDefault="008D7A79" w:rsidP="008D7A79">
      <w:pPr>
        <w:pStyle w:val="NormalWeb"/>
        <w:numPr>
          <w:ilvl w:val="0"/>
          <w:numId w:val="1"/>
        </w:numPr>
        <w:spacing w:before="0" w:beforeAutospacing="0" w:after="0" w:afterAutospacing="0" w:line="480" w:lineRule="auto"/>
        <w:rPr>
          <w:lang w:val="es-MX"/>
        </w:rPr>
      </w:pPr>
      <w:proofErr w:type="spellStart"/>
      <w:r w:rsidRPr="008D7A79">
        <w:rPr>
          <w:lang w:val="es-MX"/>
        </w:rPr>
        <w:t>Secc</w:t>
      </w:r>
      <w:proofErr w:type="spellEnd"/>
      <w:r w:rsidRPr="008D7A79">
        <w:rPr>
          <w:lang w:val="es-MX"/>
        </w:rPr>
        <w:t xml:space="preserve"> </w:t>
      </w:r>
      <w:proofErr w:type="spellStart"/>
      <w:r w:rsidRPr="008D7A79">
        <w:rPr>
          <w:lang w:val="es-MX"/>
        </w:rPr>
        <w:t>Oil</w:t>
      </w:r>
      <w:proofErr w:type="spellEnd"/>
      <w:r w:rsidRPr="008D7A79">
        <w:rPr>
          <w:lang w:val="es-MX"/>
        </w:rPr>
        <w:t xml:space="preserve"> &amp; Gas Ltd. (2025, 2 octubre). </w:t>
      </w:r>
      <w:r w:rsidRPr="008D7A79">
        <w:rPr>
          <w:i/>
          <w:iCs/>
          <w:lang w:val="es-MX"/>
        </w:rPr>
        <w:t xml:space="preserve">Recuperación secundaria y mejorada de petróleo (EOR) • </w:t>
      </w:r>
      <w:proofErr w:type="spellStart"/>
      <w:r w:rsidRPr="008D7A79">
        <w:rPr>
          <w:i/>
          <w:iCs/>
          <w:lang w:val="es-MX"/>
        </w:rPr>
        <w:t>Secc</w:t>
      </w:r>
      <w:proofErr w:type="spellEnd"/>
      <w:r w:rsidRPr="008D7A79">
        <w:rPr>
          <w:i/>
          <w:iCs/>
          <w:lang w:val="es-MX"/>
        </w:rPr>
        <w:t xml:space="preserve"> </w:t>
      </w:r>
      <w:proofErr w:type="spellStart"/>
      <w:r w:rsidRPr="008D7A79">
        <w:rPr>
          <w:i/>
          <w:iCs/>
          <w:lang w:val="es-MX"/>
        </w:rPr>
        <w:t>Oil</w:t>
      </w:r>
      <w:proofErr w:type="spellEnd"/>
      <w:r w:rsidRPr="008D7A79">
        <w:rPr>
          <w:i/>
          <w:iCs/>
          <w:lang w:val="es-MX"/>
        </w:rPr>
        <w:t xml:space="preserve"> &amp; Gas Ltd</w:t>
      </w:r>
      <w:r w:rsidRPr="008D7A79">
        <w:rPr>
          <w:lang w:val="es-MX"/>
        </w:rPr>
        <w:t xml:space="preserve">. </w:t>
      </w:r>
      <w:r w:rsidRPr="008D7A79">
        <w:rPr>
          <w:rStyle w:val="url"/>
          <w:lang w:val="es-MX"/>
        </w:rPr>
        <w:t>https://secc-oilandgas.com/es/aplicaciones/</w:t>
      </w:r>
      <w:r>
        <w:rPr>
          <w:rStyle w:val="url"/>
          <w:lang w:val="es-MX"/>
        </w:rPr>
        <w:t xml:space="preserve"> </w:t>
      </w:r>
      <w:r w:rsidRPr="008D7A79">
        <w:rPr>
          <w:rStyle w:val="url"/>
          <w:lang w:val="es-MX"/>
        </w:rPr>
        <w:t>intervencion-en-pozos-submarinos/recuperacion-mejorada-de-petroleo-eor/</w:t>
      </w:r>
      <w:r>
        <w:rPr>
          <w:rStyle w:val="url"/>
          <w:lang w:val="es-MX"/>
        </w:rPr>
        <w:t xml:space="preserve">   </w:t>
      </w:r>
      <w:bookmarkStart w:id="0" w:name="_GoBack"/>
      <w:bookmarkEnd w:id="0"/>
    </w:p>
    <w:p w:rsidR="008D7A79" w:rsidRPr="008D7A79" w:rsidRDefault="008D7A79" w:rsidP="008D7A79">
      <w:pPr>
        <w:pStyle w:val="NormalWeb"/>
        <w:numPr>
          <w:ilvl w:val="0"/>
          <w:numId w:val="1"/>
        </w:numPr>
        <w:spacing w:before="0" w:beforeAutospacing="0" w:after="0" w:afterAutospacing="0" w:line="480" w:lineRule="auto"/>
      </w:pPr>
      <w:r>
        <w:rPr>
          <w:i/>
          <w:iCs/>
        </w:rPr>
        <w:t>Enhanced Oil Recovery Techniques and Nitrogen Injection</w:t>
      </w:r>
      <w:r>
        <w:t xml:space="preserve">. (2007, 1 </w:t>
      </w:r>
      <w:proofErr w:type="spellStart"/>
      <w:r>
        <w:t>octubre</w:t>
      </w:r>
      <w:proofErr w:type="spellEnd"/>
      <w:r>
        <w:t xml:space="preserve">). CSEG RECORDER Magazine. </w:t>
      </w:r>
      <w:hyperlink r:id="rId6" w:history="1">
        <w:r w:rsidRPr="00F75096">
          <w:rPr>
            <w:rStyle w:val="Hipervnculo"/>
          </w:rPr>
          <w:t>https://csegrecorder.com/articles/view/enhanced-oil-recovery-techniques-and-nitrogen-injection</w:t>
        </w:r>
      </w:hyperlink>
      <w:r>
        <w:rPr>
          <w:rStyle w:val="url"/>
        </w:rPr>
        <w:t xml:space="preserve"> </w:t>
      </w:r>
    </w:p>
    <w:sectPr w:rsidR="008D7A79" w:rsidRPr="008D7A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1FE8"/>
    <w:multiLevelType w:val="hybridMultilevel"/>
    <w:tmpl w:val="78B4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66D"/>
    <w:rsid w:val="0006766D"/>
    <w:rsid w:val="000D1391"/>
    <w:rsid w:val="008D7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719B"/>
  <w15:chartTrackingRefBased/>
  <w15:docId w15:val="{7C0A15C6-D40F-4BE8-B1A9-37525747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7A79"/>
    <w:pPr>
      <w:ind w:left="720"/>
      <w:contextualSpacing/>
    </w:pPr>
  </w:style>
  <w:style w:type="paragraph" w:styleId="NormalWeb">
    <w:name w:val="Normal (Web)"/>
    <w:basedOn w:val="Normal"/>
    <w:uiPriority w:val="99"/>
    <w:unhideWhenUsed/>
    <w:rsid w:val="008D7A7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8D7A79"/>
  </w:style>
  <w:style w:type="character" w:styleId="Hipervnculo">
    <w:name w:val="Hyperlink"/>
    <w:basedOn w:val="Fuentedeprrafopredeter"/>
    <w:uiPriority w:val="99"/>
    <w:unhideWhenUsed/>
    <w:rsid w:val="008D7A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422378">
      <w:bodyDiv w:val="1"/>
      <w:marLeft w:val="0"/>
      <w:marRight w:val="0"/>
      <w:marTop w:val="0"/>
      <w:marBottom w:val="0"/>
      <w:divBdr>
        <w:top w:val="none" w:sz="0" w:space="0" w:color="auto"/>
        <w:left w:val="none" w:sz="0" w:space="0" w:color="auto"/>
        <w:bottom w:val="none" w:sz="0" w:space="0" w:color="auto"/>
        <w:right w:val="none" w:sz="0" w:space="0" w:color="auto"/>
      </w:divBdr>
      <w:divsChild>
        <w:div w:id="1531649705">
          <w:marLeft w:val="-720"/>
          <w:marRight w:val="0"/>
          <w:marTop w:val="0"/>
          <w:marBottom w:val="0"/>
          <w:divBdr>
            <w:top w:val="none" w:sz="0" w:space="0" w:color="auto"/>
            <w:left w:val="none" w:sz="0" w:space="0" w:color="auto"/>
            <w:bottom w:val="none" w:sz="0" w:space="0" w:color="auto"/>
            <w:right w:val="none" w:sz="0" w:space="0" w:color="auto"/>
          </w:divBdr>
        </w:div>
      </w:divsChild>
    </w:div>
    <w:div w:id="1253854571">
      <w:bodyDiv w:val="1"/>
      <w:marLeft w:val="0"/>
      <w:marRight w:val="0"/>
      <w:marTop w:val="0"/>
      <w:marBottom w:val="0"/>
      <w:divBdr>
        <w:top w:val="none" w:sz="0" w:space="0" w:color="auto"/>
        <w:left w:val="none" w:sz="0" w:space="0" w:color="auto"/>
        <w:bottom w:val="none" w:sz="0" w:space="0" w:color="auto"/>
        <w:right w:val="none" w:sz="0" w:space="0" w:color="auto"/>
      </w:divBdr>
      <w:divsChild>
        <w:div w:id="207280240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egrecorder.com/articles/view/enhanced-oil-recovery-techniques-and-nitrogen-inject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1529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HERNANDEZ</dc:creator>
  <cp:keywords/>
  <dc:description/>
  <cp:lastModifiedBy>FERNANDA HERNANDEZ</cp:lastModifiedBy>
  <cp:revision>2</cp:revision>
  <dcterms:created xsi:type="dcterms:W3CDTF">2026-02-16T15:45:00Z</dcterms:created>
  <dcterms:modified xsi:type="dcterms:W3CDTF">2026-02-16T15:45:00Z</dcterms:modified>
</cp:coreProperties>
</file>