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Task4.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rtl w:val="0"/>
        </w:rPr>
        <w:t xml:space="preserve">: [((())()(())]]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Нет. Т.к. согласно одним из основных принципов инкапсуляции, код, который относится к методу, классу, циклу и условию должны находиться между скобок. Скобки круглые, квадратные, фигурные, угольные, все они должны открываться и закрываться. Код должен быть в одним целым.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Правильная скобочная  последовательность: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980000"/>
          <w:rtl w:val="0"/>
        </w:rPr>
        <w:t xml:space="preserve">[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980000"/>
          <w:rtl w:val="0"/>
        </w:rPr>
        <w:t xml:space="preserve">)</w:t>
      </w:r>
      <w:r w:rsidDel="00000000" w:rsidR="00000000" w:rsidRPr="00000000">
        <w:rPr>
          <w:rtl w:val="0"/>
        </w:rPr>
        <w:t xml:space="preserve">]]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