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embeddings/Microsoft_Excel_Worksheet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Фамилия Имя Отчество автора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НАЗВАНИЕ ТЕМЫ ВКР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Выпускная квалификационная работа – магистерская диссертация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 10.04.01 «Информационная безопасность»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студента образовательной программы магистратуры</w:t>
        <w:br/>
        <w:t>«Наименование образовательной программы»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W w:w="97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4"/>
        <w:gridCol w:w="4928"/>
      </w:tblGrid>
      <w:tr>
        <w:trPr>
          <w:trHeight w:val="2931" w:hRule="atLeast"/>
        </w:trPr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9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Москва 2025</w:t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ФЕДЕРАЛЬНОЕ ГОСУДАРСТВЕННОЕ АВТОНОМНОЕ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bookmarkStart w:id="0" w:name="_Hlk153217068"/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«ВЫСШАЯ ШКОЛА ЭКОНОМИКИ»</w:t>
      </w:r>
      <w:bookmarkEnd w:id="0"/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ind w:right="2160" w:hanging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ЗАДАНИЕ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на выполнение выпускной квалификационной работы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студенту группы _____ Фамилия Имя Отчество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Тема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Тема ВКР приводится в соответствии с приказом об утверждении тем ВКР.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Требования к работе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2.1. Цель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Цель работы формулируется в контексте повышения эффективности некоторого научно-технического решения либо в контексте решения конкретной прикладной задачи. Из формулировки цели ВКР должна быть понятна ее актуальность</w:t>
      </w: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2.2. Требования к результатам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результаты, которые должны быть получены в рамках ВКР, и уточняются их технические характеристики.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2.3. Требования к документации</w:t>
      </w:r>
    </w:p>
    <w:p>
      <w:pPr>
        <w:pStyle w:val="Normal"/>
        <w:spacing w:lineRule="auto" w:line="240" w:before="0" w:after="0"/>
        <w:ind w:right="51" w:hanging="0"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Текст ВКР должен быть оформлен в соответствии с ГОСТ.</w:t>
      </w:r>
    </w:p>
    <w:p>
      <w:pPr>
        <w:pStyle w:val="Normal"/>
        <w:spacing w:lineRule="auto" w:line="240" w:before="0" w:after="0"/>
        <w:ind w:left="360"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Содержание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выполняемые работы, в основном соответствующие структуре ВКР, представленной в пояснительной записке. Обязательные работы приведены в настоящем шаблоне. Все прочие работы определяются студентом совместно с руководителем.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3.1. Обзор научно-технической литературы по теме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3.2. …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3._. Подготовка пояснительной записки к ВКР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Сроки выполнения этапов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65"/>
        <w:gridCol w:w="2705"/>
      </w:tblGrid>
      <w:tr>
        <w:trPr>
          <w:trHeight w:val="622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Проект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«16» февраля 2025 г.</w:t>
            </w:r>
          </w:p>
        </w:tc>
      </w:tr>
      <w:tr>
        <w:trPr>
          <w:trHeight w:val="699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Первый вариант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«31» марта 2025 г.</w:t>
            </w:r>
          </w:p>
        </w:tc>
      </w:tr>
      <w:tr>
        <w:trPr/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Итоговый вариант ВКР представляется студентом руководителю до загрузки работы в систему «Антиплагиат»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«30» апреля 2025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W w:w="967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69"/>
        <w:gridCol w:w="2692"/>
        <w:gridCol w:w="4112"/>
      </w:tblGrid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выдано</w:t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руководителя</w:t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принято к исполнению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студента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В аннотации кратко описывается решаемая в выпускной квалификационной работе (ВКР) задача, обосновывается ее актуальность, описываются использованные методы и приводятся полученные результаты. При описании полученных результатов указываются их отличительные особенности и преимущества. Работа содержит __ страниц, __ рисунков, __ таблиц, __ источников, __ приложений.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Abstract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Перевод аннотации на английский язык.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438_1511805350">
            <w:r>
              <w:rPr>
                <w:webHidden/>
                <w:rStyle w:val="IndexLink"/>
              </w:rPr>
              <w:t>1 Введение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hyperlink w:anchor="__RefHeading___Toc3440_1511805350">
            <w:r>
              <w:rPr>
                <w:webHidden/>
                <w:rStyle w:val="IndexLink"/>
              </w:rPr>
              <w:t>2 Обзор литературы</w:t>
              <w:tab/>
              <w:t>8</w:t>
            </w:r>
          </w:hyperlink>
        </w:p>
        <w:p>
          <w:pPr>
            <w:pStyle w:val="Contents2"/>
            <w:tabs>
              <w:tab w:val="clear" w:pos="709"/>
              <w:tab w:val="right" w:pos="9245" w:leader="dot"/>
            </w:tabs>
            <w:rPr/>
          </w:pPr>
          <w:hyperlink w:anchor="__RefHeading___Toc3442_1511805350">
            <w:r>
              <w:rPr>
                <w:webHidden/>
                <w:rStyle w:val="IndexLink"/>
              </w:rPr>
              <w:t>2.1 SCA для Java-проектов с использованием Spring Boot</w:t>
              <w:tab/>
              <w:t>8</w:t>
            </w:r>
          </w:hyperlink>
        </w:p>
        <w:p>
          <w:pPr>
            <w:pStyle w:val="Contents3"/>
            <w:tabs>
              <w:tab w:val="clear" w:pos="709"/>
              <w:tab w:val="right" w:pos="9245" w:leader="dot"/>
            </w:tabs>
            <w:rPr/>
          </w:pPr>
          <w:hyperlink w:anchor="__RefHeading___Toc3444_1511805350">
            <w:r>
              <w:rPr>
                <w:webHidden/>
                <w:rStyle w:val="IndexLink"/>
              </w:rPr>
              <w:t>2.1.1 SCA opensource иностранные</w:t>
              <w:tab/>
              <w:t>10</w:t>
            </w:r>
          </w:hyperlink>
        </w:p>
        <w:p>
          <w:pPr>
            <w:pStyle w:val="Contents3"/>
            <w:tabs>
              <w:tab w:val="clear" w:pos="709"/>
              <w:tab w:val="right" w:pos="9245" w:leader="dot"/>
            </w:tabs>
            <w:rPr/>
          </w:pPr>
          <w:hyperlink w:anchor="__RefHeading___Toc3446_1511805350">
            <w:r>
              <w:rPr>
                <w:webHidden/>
                <w:rStyle w:val="IndexLink"/>
              </w:rPr>
              <w:t>2.1.2 SCA отечественные</w:t>
              <w:tab/>
              <w:t>10</w:t>
            </w:r>
          </w:hyperlink>
        </w:p>
        <w:p>
          <w:pPr>
            <w:pStyle w:val="Contents2"/>
            <w:tabs>
              <w:tab w:val="clear" w:pos="709"/>
              <w:tab w:val="right" w:pos="9245" w:leader="dot"/>
            </w:tabs>
            <w:rPr/>
          </w:pPr>
          <w:hyperlink w:anchor="__RefHeading___Toc3448_1511805350">
            <w:r>
              <w:rPr>
                <w:webHidden/>
                <w:rStyle w:val="IndexLink"/>
              </w:rPr>
              <w:t>2.2 Название подраздела</w:t>
              <w:tab/>
              <w:t>10</w:t>
            </w:r>
          </w:hyperlink>
        </w:p>
        <w:p>
          <w:pPr>
            <w:pStyle w:val="Contents3"/>
            <w:tabs>
              <w:tab w:val="clear" w:pos="709"/>
              <w:tab w:val="right" w:pos="9245" w:leader="dot"/>
            </w:tabs>
            <w:rPr/>
          </w:pPr>
          <w:hyperlink w:anchor="__RefHeading___Toc3450_1511805350">
            <w:r>
              <w:rPr>
                <w:webHidden/>
                <w:rStyle w:val="IndexLink"/>
              </w:rPr>
              <w:t>2.2.1 Название пункта</w:t>
              <w:tab/>
              <w:t>10</w:t>
            </w:r>
          </w:hyperlink>
        </w:p>
        <w:p>
          <w:pPr>
            <w:pStyle w:val="Contents3"/>
            <w:tabs>
              <w:tab w:val="clear" w:pos="709"/>
              <w:tab w:val="right" w:pos="9245" w:leader="dot"/>
            </w:tabs>
            <w:rPr/>
          </w:pPr>
          <w:hyperlink w:anchor="__RefHeading___Toc3452_1511805350">
            <w:r>
              <w:rPr>
                <w:webHidden/>
                <w:rStyle w:val="IndexLink"/>
              </w:rPr>
              <w:t>2.2.2 Название пункта</w:t>
              <w:tab/>
              <w:t>10</w:t>
            </w:r>
          </w:hyperlink>
        </w:p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hyperlink w:anchor="__RefHeading___Toc3454_1511805350">
            <w:r>
              <w:rPr>
                <w:webHidden/>
                <w:rStyle w:val="IndexLink"/>
              </w:rPr>
              <w:t>3 Заключение</w:t>
              <w:tab/>
              <w:t>11</w:t>
            </w:r>
          </w:hyperlink>
        </w:p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hyperlink w:anchor="__RefHeading___Toc3456_1511805350">
            <w:r>
              <w:rPr>
                <w:webHidden/>
                <w:rStyle w:val="IndexLink"/>
              </w:rPr>
              <w:t>4 Список использованных источников</w:t>
              <w:tab/>
              <w:t>12</w:t>
            </w:r>
          </w:hyperlink>
        </w:p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hyperlink w:anchor="__RefHeading___Toc3458_1511805350">
            <w:r>
              <w:rPr>
                <w:webHidden/>
                <w:rStyle w:val="IndexLink"/>
              </w:rPr>
              <w:t>ПРИЛОЖЕНИЕ А. Основные требования к оформлению текста ВКР</w:t>
              <w:tab/>
              <w:t>13</w:t>
            </w:r>
          </w:hyperlink>
        </w:p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hyperlink w:anchor="__RefHeading___Toc3460_1511805350">
            <w:r>
              <w:rPr>
                <w:webHidden/>
                <w:rStyle w:val="IndexLink"/>
              </w:rPr>
              <w:t>ПРИЛОЖЕНИЕ Б. Пример списка использованных источников</w:t>
              <w:tab/>
              <w:t>19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  <w:r>
        <w:br w:type="page"/>
      </w:r>
    </w:p>
    <w:p>
      <w:pPr>
        <w:pStyle w:val="Heading1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bookmarkStart w:id="1" w:name="__RefHeading___Toc3438_1511805350"/>
      <w:bookmarkStart w:id="2" w:name="_Toc153218533"/>
      <w:bookmarkEnd w:id="1"/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1 Введение</w:t>
      </w:r>
      <w:bookmarkEnd w:id="2"/>
    </w:p>
    <w:p>
      <w:pPr>
        <w:pStyle w:val="TextBody"/>
        <w:spacing w:lineRule="auto" w:line="360" w:before="0" w:after="0"/>
        <w:ind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Цель данной работы заключается в повышении эффективности разработки и обеспечения безопасности микросервисов, построенных на платформе Java Spring Boot, путем интеграции методов статического и динамического анализа, а также анализа состава программного обеспечения. В частности, акцент будет сделан на использовании инструментов SCA (Software Composition Analysis), SAST (Static Application Security Testing) и DAST (Dynamic Application Security Testing). </w:t>
      </w:r>
    </w:p>
    <w:p>
      <w:pPr>
        <w:pStyle w:val="TextBody"/>
        <w:spacing w:lineRule="auto" w:line="360" w:before="0" w:after="0"/>
        <w:ind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В рамках исследования будет изучено применение опенсорсных библиотек, доступных для скачивания в России, что обеспечит доступность и возможность практической реализации предложенных решений. Особое внимание будет уделено поиску и оценке русских аналогов анализируемых инструментов, если таковые найдутся. </w:t>
      </w:r>
    </w:p>
    <w:p>
      <w:pPr>
        <w:pStyle w:val="TextBody"/>
        <w:spacing w:lineRule="auto" w:line="360" w:before="0" w:after="0"/>
        <w:ind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работы будет представлена практическая реализация интеграции инструментов SCA и SAST в процесс разработки микросервисов, что позволит продемонстрировать их взаимодополняемость и вклад в повышение уровня безопасности приложений. Кроме того, будет рассмотрено применение DAST в рамках тестирования и эксплуатации, что подчеркнет важность комплексного подхода к обеспечению безопасности. Таким образом, работа направлена не только на решение конкретных прикладных задач, но и на развитие понимания актуальных методов обеспечения безопасности в контексте современного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3" w:name="__RefHeading___Toc3440_1511805350"/>
      <w:bookmarkStart w:id="4" w:name="_Toc153218534"/>
      <w:bookmarkEnd w:id="3"/>
      <w:r>
        <w:rPr>
          <w:sz w:val="26"/>
          <w:szCs w:val="26"/>
        </w:rPr>
        <w:t>2 </w:t>
      </w:r>
      <w:bookmarkEnd w:id="4"/>
      <w:r>
        <w:rPr>
          <w:sz w:val="26"/>
          <w:szCs w:val="26"/>
        </w:rPr>
        <w:t>Обзор литературы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В этой главе я проведу обзор литературы, посвященной инструментам статического и динамического анализа программного обеспечения (SCA, SAST и DAST), с акцентом на их применение в контексте разработки Java-приложений, использующих библиотеку Spring Boot.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Также я буду рассматривать использование этих инструментов в процессах непрерывной интеграции и доставки (CI/CD), что является важной частью практик DevSecOps. Одним из ключевых аспектов внедрения SAST и DAST инструментов </w:t>
      </w:r>
      <w:r>
        <w:rPr>
          <w:rFonts w:eastAsia="Calibri" w:cs="Times New Roman" w:eastAsiaTheme="minorHAns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должно быть </w:t>
      </w:r>
      <w:r>
        <w:rPr>
          <w:rFonts w:eastAsia="Calibri" w:cs="Times New Roman" w:eastAsiaTheme="minorHAns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их удобство интеграции в существующие рабочие процессы разработки. Эти инструменты </w:t>
      </w:r>
      <w:r>
        <w:rPr>
          <w:rFonts w:eastAsia="Calibri" w:cs="Times New Roman" w:eastAsiaTheme="minorHAns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должны быть</w:t>
      </w:r>
      <w:r>
        <w:rPr>
          <w:rFonts w:eastAsia="Calibri" w:cs="Times New Roman" w:eastAsiaTheme="minorHAns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 легко подключ</w:t>
      </w:r>
      <w:r>
        <w:rPr>
          <w:rFonts w:eastAsia="Calibri" w:cs="Times New Roman" w:eastAsiaTheme="minorHAns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яемы</w:t>
      </w:r>
      <w:r>
        <w:rPr>
          <w:rFonts w:eastAsia="Calibri" w:cs="Times New Roman" w:eastAsiaTheme="minorHAns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 к CI/CD конвейерам. </w:t>
      </w:r>
    </w:p>
    <w:p>
      <w:pPr>
        <w:pStyle w:val="Heading2"/>
        <w:rPr>
          <w:sz w:val="26"/>
          <w:szCs w:val="26"/>
        </w:rPr>
      </w:pPr>
      <w:bookmarkStart w:id="5" w:name="__RefHeading___Toc3442_1511805350"/>
      <w:bookmarkStart w:id="6" w:name="_Toc153218535"/>
      <w:bookmarkEnd w:id="5"/>
      <w:r>
        <w:rPr>
          <w:sz w:val="26"/>
          <w:szCs w:val="26"/>
        </w:rPr>
        <w:t>2.1 </w:t>
      </w:r>
      <w:bookmarkEnd w:id="6"/>
      <w:r>
        <w:rPr>
          <w:rStyle w:val="StrongEmphasis"/>
          <w:b/>
          <w:sz w:val="26"/>
          <w:szCs w:val="26"/>
        </w:rPr>
        <w:t>SCA для Java-проектов с использованием Spring Boot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Компоненты с открытым исходным кодом стали основными элементами программного обеспечения в различных областях. Системы SCA помогают контролировать эти компоненты в приложениях, что критично для их безопасности. Всё больше современных приложений строится на базе открытого кода, и по некоторым данным, до 90% их кода может состоять из опенсорса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[1]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. Анализ компонентов программного обеспечения (SCA) представляет собой процесс идентификации и оценки компонентов, особенно открытого исходного кода, в рамках программного обеспечения, а также проверки их безопасности. Используя SCA, команды разработчиков могут быстро обнаруживать и анализировать опенсорсные компоненты, интегрированные в проект. Инструменты SCA способны выявлять все связанные компоненты и библиотеки, а также прямые и косвенные зависимости. Кроме этого, системы SCA выявляют лицензии программного обеспечения, устаревшие зависимости, уязвимости и потенциальные угрозы.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сканирования создаётся полная спецификация, которая позволяет провести инвентаризацию программных активов проекта. Хотя инструменты SCA существуют уже давно, их значение возросло с увеличением использования открытого исходного кода в последние годы, и они стали ключевыми для повышения безопасности приложений. Современные методологии разработки, такие как DevSecOps, требуют, чтобы SCA был удобен как для разработчиков, так и для специалистов по безопасности, чья роль заключается в поддержке разработчиков на всех этапах жизненного цикла разработки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В области разработки программного обеспечения эффективное управление зависимостями является ключевым аспектом в создании надежных и безопасных приложений. Spring Boot, который зарекомендовал себя как предпочтительный инструмент среди разработчиков на языке Java, значительно упрощает процесс разработки, однако не следует ограничиваться лишь его удобством. Критически важно осуществлять мониторинг и актуализацию зависимостей, чтобы обеспечить бесперебойную работу проектов на Spring Boot и их устойчивость к постоянно эволюционирующим угрозам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[2]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Одним из наиболее важных аспектов управления зависимостями в рамках Spring Boot является вопрос безопасности. Уязвимости в программном обеспечении регулярно выявляются, и своевременное обновление зависимостей в проекте можно рассматривать как форму цифровой защиты. Устаревшие зависимости представляют собой потенциальные риски, аналогичные незапертым дверям, которые могут способствовать проникновению угроз. Следовательно, необходимо принять меры для предотвращения таких ситуаций и обеспечить безопасность и целостность разрабатываемых приложений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[2]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Gradle и Maven — это популярные инструменты для управления проектами и построения программного обеспечения на языке Java. Они упрощают процесс сборки, управления зависимостями и автоматизации рабочего процесса, позволяя разработчикам сосредоточиться на написании кода, а не на решении организационных задач.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В ходе обзора средств анализа компонентов программного обеспечения (SCA) для Java-приложений я отметила, что фреймворки SCA различаются по удобству использования для разработчиков. К менее удобным инструментам можно отнести те, которые требуют локальной установки для анализа кода, что подразумевает необходимость запуска исполняемого файла приложения. В то же время существуют более удобные SCA-инструменты, которые позволяют легко добавлять зависимости в Gradle или Maven, после чего их можно использовать непосредственно через эти системы управления проектами.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В следующей части работы будет представлен обзор международных опенсорсных SCA-инструментов, которые я бы захотела использовать благодаря их удобству и эффективности. Также мне удалось обнаружить перспективный отечественный SCA-инструмент, о котором стоит рассказать.</w:t>
      </w:r>
    </w:p>
    <w:p>
      <w:pPr>
        <w:pStyle w:val="Heading3"/>
        <w:rPr>
          <w:sz w:val="26"/>
          <w:szCs w:val="26"/>
        </w:rPr>
      </w:pPr>
      <w:bookmarkStart w:id="7" w:name="__RefHeading___Toc3444_1511805350"/>
      <w:bookmarkStart w:id="8" w:name="_Toc153218536"/>
      <w:bookmarkEnd w:id="7"/>
      <w:r>
        <w:rPr>
          <w:sz w:val="26"/>
          <w:szCs w:val="26"/>
        </w:rPr>
        <w:t>2.1.1</w:t>
      </w:r>
      <w:bookmarkEnd w:id="8"/>
      <w:r>
        <w:rPr>
          <w:sz w:val="26"/>
          <w:szCs w:val="26"/>
        </w:rPr>
        <w:t xml:space="preserve"> </w:t>
      </w:r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иностранных опенсорсных SCA-инструментов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9" w:name="__RefHeading___Toc3446_1511805350"/>
      <w:bookmarkStart w:id="10" w:name="_Toc153218537"/>
      <w:bookmarkEnd w:id="9"/>
      <w:r>
        <w:rPr>
          <w:sz w:val="26"/>
          <w:szCs w:val="26"/>
        </w:rPr>
        <w:t xml:space="preserve">2.1.2 </w:t>
      </w:r>
      <w:bookmarkEnd w:id="10"/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отечественных SCA-инструментов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2"/>
        <w:rPr>
          <w:sz w:val="26"/>
          <w:szCs w:val="26"/>
        </w:rPr>
      </w:pPr>
      <w:bookmarkStart w:id="11" w:name="__RefHeading___Toc3448_1511805350"/>
      <w:bookmarkStart w:id="12" w:name="_Toc153218538"/>
      <w:bookmarkEnd w:id="11"/>
      <w:r>
        <w:rPr>
          <w:sz w:val="26"/>
          <w:szCs w:val="26"/>
        </w:rPr>
        <w:t>2.2 Название подраздела</w:t>
      </w:r>
      <w:bookmarkEnd w:id="1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13" w:name="__RefHeading___Toc3450_1511805350"/>
      <w:bookmarkStart w:id="14" w:name="_Toc153218539"/>
      <w:bookmarkEnd w:id="13"/>
      <w:r>
        <w:rPr>
          <w:sz w:val="26"/>
          <w:szCs w:val="26"/>
        </w:rPr>
        <w:t>2.2.1 Название пункта</w:t>
      </w:r>
      <w:bookmarkEnd w:id="14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15" w:name="__RefHeading___Toc3452_1511805350"/>
      <w:bookmarkStart w:id="16" w:name="_Toc153218540"/>
      <w:bookmarkEnd w:id="15"/>
      <w:r>
        <w:rPr>
          <w:sz w:val="26"/>
          <w:szCs w:val="26"/>
        </w:rPr>
        <w:t>2.2.2 Название пункта</w:t>
      </w:r>
      <w:bookmarkEnd w:id="16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17" w:name="__RefHeading___Toc3454_1511805350"/>
      <w:bookmarkStart w:id="18" w:name="_Toc153218541"/>
      <w:bookmarkEnd w:id="17"/>
      <w:r>
        <w:rPr>
          <w:sz w:val="26"/>
          <w:szCs w:val="26"/>
        </w:rPr>
        <w:t>3 Заключение</w:t>
      </w:r>
      <w:bookmarkEnd w:id="18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Приводится краткое описание результатов ВКР.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19" w:name="__RefHeading___Toc3456_1511805350"/>
      <w:bookmarkStart w:id="20" w:name="_Toc153218542"/>
      <w:bookmarkEnd w:id="19"/>
      <w:r>
        <w:rPr>
          <w:sz w:val="26"/>
          <w:szCs w:val="26"/>
        </w:rPr>
        <w:t>4 Список использованных источников</w:t>
      </w:r>
      <w:bookmarkEnd w:id="20"/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1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. Обзор рынка инструментов SCA (Software Composition Analysis)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https://www.anti-malware.ru/analytics/Market_Analysis/Software-Composition-Analysis 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15.</w:t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01</w:t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.20</w:t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25</w:t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).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2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Handling security vulnerabilities in Spring Boot | Snyk</w:t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– URL: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https://snyk.io/blog/security-vulnerabilities-spring-boot/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15.01.2025</w:t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ind w:hanging="0"/>
        <w:jc w:val="center"/>
        <w:rPr>
          <w:rFonts w:eastAsia="Times New Roman" w:cs="Arial"/>
          <w:kern w:val="2"/>
          <w:sz w:val="26"/>
          <w:szCs w:val="26"/>
          <w:lang w:eastAsia="ru-RU"/>
        </w:rPr>
      </w:pPr>
      <w:bookmarkStart w:id="21" w:name="__RefHeading___Toc3458_1511805350"/>
      <w:bookmarkStart w:id="22" w:name="_Toc153218543"/>
      <w:bookmarkStart w:id="23" w:name="_Toc1372613"/>
      <w:bookmarkStart w:id="24" w:name="Приложение"/>
      <w:bookmarkEnd w:id="21"/>
      <w:r>
        <w:rPr>
          <w:rFonts w:eastAsia="Times New Roman"/>
          <w:sz w:val="26"/>
          <w:szCs w:val="26"/>
          <w:lang w:eastAsia="ru-RU"/>
        </w:rPr>
        <w:t>ПРИЛОЖЕНИЕ А</w:t>
      </w:r>
      <w:bookmarkEnd w:id="24"/>
      <w:r>
        <w:rPr>
          <w:rFonts w:eastAsia="Times New Roman"/>
          <w:sz w:val="26"/>
          <w:szCs w:val="26"/>
          <w:lang w:eastAsia="ru-RU"/>
        </w:rPr>
        <w:t>.</w:t>
        <w:br/>
      </w:r>
      <w:bookmarkEnd w:id="23"/>
      <w:r>
        <w:rPr>
          <w:rFonts w:eastAsia="Times New Roman" w:cs="Arial"/>
          <w:kern w:val="2"/>
          <w:sz w:val="26"/>
          <w:szCs w:val="26"/>
          <w:lang w:eastAsia="ru-RU"/>
        </w:rPr>
        <w:t>Основные требования к оформлению текста ВКР</w:t>
      </w:r>
      <w:bookmarkEnd w:id="2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А.1 Общие требования к оформлению текста ВКР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Шрифт: единый, рекомендуемый – Times New Roman,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Цвет: черный,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Размер: не менее 12 </w:t>
      </w:r>
      <w:r>
        <w:rPr>
          <w:rFonts w:cs="Times New Roman" w:ascii="Times New Roman" w:hAnsi="Times New Roman"/>
          <w:color w:val="000000"/>
          <w:sz w:val="26"/>
          <w:szCs w:val="26"/>
        </w:rPr>
        <w:t>пт., одинаковый во всем документе,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Выравнивание </w:t>
      </w:r>
      <w:r>
        <w:rPr>
          <w:rFonts w:cs="Times New Roman" w:ascii="Times New Roman" w:hAnsi="Times New Roman"/>
          <w:color w:val="000000"/>
          <w:sz w:val="26"/>
          <w:szCs w:val="26"/>
        </w:rPr>
        <w:t>текста – по ширине,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Межстрочный интервал </w:t>
      </w:r>
      <w:r>
        <w:rPr>
          <w:rFonts w:cs="Times New Roman" w:ascii="Times New Roman" w:hAnsi="Times New Roman"/>
          <w:color w:val="000000"/>
          <w:sz w:val="26"/>
          <w:szCs w:val="26"/>
        </w:rPr>
        <w:t>– полуторный (исключения: оформление титула, названий рисунков и таблиц),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Абзацный отступ </w:t>
      </w:r>
      <w:r>
        <w:rPr>
          <w:rFonts w:cs="Times New Roman" w:ascii="Times New Roman" w:hAnsi="Times New Roman"/>
          <w:color w:val="000000"/>
          <w:sz w:val="26"/>
          <w:szCs w:val="26"/>
        </w:rPr>
        <w:t>– 1,25 см.,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Отступы и интервалы </w:t>
      </w:r>
      <w:r>
        <w:rPr>
          <w:rFonts w:cs="Times New Roman" w:ascii="Times New Roman" w:hAnsi="Times New Roman"/>
          <w:color w:val="000000"/>
          <w:sz w:val="26"/>
          <w:szCs w:val="26"/>
        </w:rPr>
        <w:t>в тексте – 0 см.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Полужирный шрифт</w:t>
      </w:r>
      <w:r>
        <w:rPr>
          <w:rFonts w:cs="Times New Roman" w:ascii="Times New Roman" w:hAnsi="Times New Roman"/>
          <w:b/>
          <w:bCs/>
          <w:sz w:val="26"/>
          <w:szCs w:val="26"/>
        </w:rPr>
        <w:t>:</w:t>
      </w:r>
      <w:r>
        <w:rPr>
          <w:rFonts w:eastAsia="Arial Unicode MS" w:cs="Arial Unicode MS" w:ascii="Arial Unicode MS" w:hAnsi="Arial Unicode MS"/>
          <w:sz w:val="26"/>
          <w:szCs w:val="26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</w:rPr>
        <w:t>применяют только для заголовков структурных элементов документа</w:t>
      </w:r>
      <w:r>
        <w:rPr>
          <w:rFonts w:cs="Times New Roman" w:ascii="Times New Roman" w:hAnsi="Times New Roman"/>
          <w:sz w:val="26"/>
          <w:szCs w:val="26"/>
        </w:rPr>
        <w:t>,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</w:rPr>
        <w:t>для заголовков разделов и подразделов основной части документа.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Курсив: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</w:rPr>
        <w:t xml:space="preserve">допускается для обозначения объектов и написания терминов. Курсив также может использоваться для </w:t>
      </w:r>
      <w:r>
        <w:rPr>
          <w:rFonts w:cs="Times New Roman" w:ascii="Times New Roman" w:hAnsi="Times New Roman"/>
          <w:bCs/>
          <w:i/>
          <w:sz w:val="26"/>
          <w:szCs w:val="26"/>
        </w:rPr>
        <w:t>акцентирования внимания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 xml:space="preserve">, </w:t>
      </w:r>
      <w:r>
        <w:rPr>
          <w:rFonts w:cs="Times New Roman" w:ascii="Times New Roman" w:hAnsi="Times New Roman"/>
          <w:bCs/>
          <w:i/>
          <w:sz w:val="26"/>
          <w:szCs w:val="26"/>
        </w:rPr>
        <w:t>выделения текста в документе</w:t>
      </w:r>
      <w:r>
        <w:rPr>
          <w:rFonts w:cs="Times New Roman" w:ascii="Times New Roman" w:hAnsi="Times New Roman"/>
          <w:bCs/>
          <w:sz w:val="26"/>
          <w:szCs w:val="26"/>
        </w:rPr>
        <w:t xml:space="preserve">, но при этом текст должен быть </w:t>
      </w:r>
      <w:r>
        <w:rPr>
          <w:rFonts w:cs="Times New Roman" w:ascii="Times New Roman" w:hAnsi="Times New Roman"/>
          <w:bCs/>
          <w:i/>
          <w:sz w:val="26"/>
          <w:szCs w:val="26"/>
        </w:rPr>
        <w:t>того же кегля и гарнитуры</w:t>
      </w:r>
      <w:r>
        <w:rPr>
          <w:rFonts w:cs="Times New Roman" w:ascii="Times New Roman" w:hAnsi="Times New Roman"/>
          <w:bCs/>
          <w:sz w:val="26"/>
          <w:szCs w:val="26"/>
        </w:rPr>
        <w:t>.  Разрешается для написания определенных терминов, формул, теорем применять шрифты разной гарнитуры.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Размеры полей: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</w:rPr>
        <w:t>левое – 3,0 см., правое – 1,5 см., верхнее и нижнее – 2,0 см.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Номера страниц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– арабскими цифрами, </w:t>
      </w:r>
      <w:r>
        <w:rPr>
          <w:rFonts w:cs="Times New Roman" w:ascii="Times New Roman" w:hAnsi="Times New Roman"/>
          <w:bCs/>
          <w:i/>
          <w:sz w:val="26"/>
          <w:szCs w:val="26"/>
        </w:rPr>
        <w:t>внизу по центру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</w:rPr>
        <w:t xml:space="preserve">. </w:t>
      </w:r>
      <w:r>
        <w:rPr>
          <w:rFonts w:cs="Times New Roman" w:ascii="Times New Roman" w:hAnsi="Times New Roman"/>
          <w:bCs/>
          <w:sz w:val="26"/>
          <w:szCs w:val="26"/>
        </w:rPr>
        <w:t>Титульный лист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включают в общую нумерацию страниц документа. </w:t>
      </w:r>
      <w:r>
        <w:rPr>
          <w:rFonts w:cs="Times New Roman" w:ascii="Times New Roman" w:hAnsi="Times New Roman"/>
          <w:i/>
          <w:sz w:val="26"/>
          <w:szCs w:val="26"/>
        </w:rPr>
        <w:t>Номер</w:t>
      </w:r>
      <w:r>
        <w:rPr>
          <w:rFonts w:cs="Times New Roman" w:ascii="Times New Roman" w:hAnsi="Times New Roman"/>
          <w:color w:val="FF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страницы на титульном листе </w:t>
      </w:r>
      <w:r>
        <w:rPr>
          <w:rFonts w:cs="Times New Roman" w:ascii="Times New Roman" w:hAnsi="Times New Roman"/>
          <w:i/>
          <w:sz w:val="26"/>
          <w:szCs w:val="26"/>
        </w:rPr>
        <w:t>не проставляют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. </w:t>
      </w:r>
      <w:r>
        <w:rPr>
          <w:rFonts w:cs="Times New Roman" w:ascii="Times New Roman" w:hAnsi="Times New Roman"/>
          <w:i/>
          <w:sz w:val="26"/>
          <w:szCs w:val="26"/>
        </w:rPr>
        <w:t xml:space="preserve">Приложения </w:t>
      </w:r>
      <w:r>
        <w:rPr>
          <w:rFonts w:cs="Times New Roman" w:ascii="Times New Roman" w:hAnsi="Times New Roman"/>
          <w:color w:val="000000"/>
          <w:sz w:val="26"/>
          <w:szCs w:val="26"/>
        </w:rPr>
        <w:t>должны иметь общую с остальной частью документа сквозную нумерацию страниц.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Оформление перечислений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: </w:t>
      </w:r>
      <w:r>
        <w:rPr>
          <w:rFonts w:cs="Times New Roman" w:ascii="Times New Roman" w:hAnsi="Times New Roman"/>
          <w:bCs/>
          <w:sz w:val="26"/>
          <w:szCs w:val="26"/>
        </w:rPr>
        <w:t>п</w:t>
      </w:r>
      <w:r>
        <w:rPr>
          <w:rFonts w:cs="Times New Roman" w:ascii="Times New Roman" w:hAnsi="Times New Roman"/>
          <w:sz w:val="26"/>
          <w:szCs w:val="26"/>
        </w:rPr>
        <w:t xml:space="preserve">еред каждым элементом перечисления следует ставить </w:t>
      </w:r>
      <w:r>
        <w:rPr>
          <w:rFonts w:cs="Times New Roman" w:ascii="Times New Roman" w:hAnsi="Times New Roman"/>
          <w:i/>
          <w:sz w:val="26"/>
          <w:szCs w:val="26"/>
        </w:rPr>
        <w:t>тире</w:t>
      </w:r>
      <w:r>
        <w:rPr>
          <w:rFonts w:cs="Times New Roman" w:ascii="Times New Roman" w:hAnsi="Times New Roman"/>
          <w:sz w:val="26"/>
          <w:szCs w:val="26"/>
        </w:rPr>
        <w:t xml:space="preserve"> или, при необходимости ссылки в тексте документа на один из элементов перечисления, вместо тире ставят </w:t>
      </w:r>
      <w:r>
        <w:rPr>
          <w:rFonts w:cs="Times New Roman" w:ascii="Times New Roman" w:hAnsi="Times New Roman"/>
          <w:i/>
          <w:sz w:val="26"/>
          <w:szCs w:val="26"/>
        </w:rPr>
        <w:t xml:space="preserve">строчные буквы, </w:t>
      </w:r>
      <w:r>
        <w:rPr>
          <w:rFonts w:cs="Times New Roman" w:ascii="Times New Roman" w:hAnsi="Times New Roman"/>
          <w:sz w:val="26"/>
          <w:szCs w:val="26"/>
        </w:rPr>
        <w:t>начиная с буквы «а» (за исключением – е, з, й, о, ч, ъ, ы, ь), после которой ставится скобка. Простые перечисления отделяются запятой, сложные – точкой с запятой.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Cs/>
          <w:i/>
          <w:sz w:val="26"/>
          <w:szCs w:val="26"/>
        </w:rPr>
        <w:t>НЕ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допускается использование </w:t>
      </w:r>
      <w:r>
        <w:rPr>
          <w:rFonts w:cs="Times New Roman" w:ascii="Times New Roman" w:hAnsi="Times New Roman"/>
          <w:bCs/>
          <w:i/>
          <w:sz w:val="26"/>
          <w:szCs w:val="26"/>
        </w:rPr>
        <w:t>данных</w:t>
      </w:r>
      <w:r>
        <w:rPr>
          <w:rFonts w:cs="Times New Roman"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Fonts w:cs="Times New Roman" w:ascii="Times New Roman" w:hAnsi="Times New Roman"/>
          <w:i/>
          <w:sz w:val="26"/>
          <w:szCs w:val="26"/>
        </w:rPr>
        <w:t>знаков</w:t>
      </w:r>
      <w:r>
        <w:rPr>
          <w:rFonts w:cs="Times New Roman" w:ascii="Times New Roman" w:hAnsi="Times New Roman"/>
          <w:sz w:val="26"/>
          <w:szCs w:val="26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2205" w:hanging="1071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2925" w:hanging="1791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При наличии конкретного числа перечислений допускается использовать </w:t>
      </w:r>
      <w:r>
        <w:rPr>
          <w:rFonts w:cs="Times New Roman" w:ascii="Times New Roman" w:hAnsi="Times New Roman"/>
          <w:i/>
          <w:sz w:val="26"/>
          <w:szCs w:val="26"/>
        </w:rPr>
        <w:t xml:space="preserve">арабские цифры </w:t>
      </w:r>
      <w:r>
        <w:rPr>
          <w:rFonts w:cs="Times New Roman" w:ascii="Times New Roman" w:hAnsi="Times New Roman"/>
          <w:sz w:val="26"/>
          <w:szCs w:val="26"/>
        </w:rPr>
        <w:t>со скобками.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Перечисления приводятся с абзацного отступа – 1,25 пт., без отступов слева и выступов справа.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А.2 Оформление иллюстраций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 иллюстрациям относятся: чертежи, графики, схемы, диаграммы, фотоснимки.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bCs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bCs/>
          <w:sz w:val="26"/>
          <w:szCs w:val="26"/>
          <w:lang w:eastAsia="ru-RU"/>
        </w:rPr>
        <w:t xml:space="preserve">Иллюстрации следует располагать </w:t>
      </w:r>
      <w:r>
        <w:rPr>
          <w:rFonts w:eastAsia="Calibri" w:cs="Times New Roman" w:ascii="Times New Roman" w:hAnsi="Times New Roman"/>
          <w:bCs/>
          <w:i/>
          <w:sz w:val="26"/>
          <w:szCs w:val="26"/>
          <w:lang w:eastAsia="ru-RU"/>
        </w:rPr>
        <w:t>непосредственно после текста</w:t>
      </w:r>
      <w:r>
        <w:rPr>
          <w:rFonts w:eastAsia="Calibri" w:cs="Times New Roman" w:ascii="Times New Roman" w:hAnsi="Times New Roman"/>
          <w:bCs/>
          <w:sz w:val="26"/>
          <w:szCs w:val="26"/>
          <w:lang w:eastAsia="ru-RU"/>
        </w:rPr>
        <w:t>, где они упоминаются впервые, или на следующей странице (по возможности ближе к соответствующим частям текста).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bCs/>
          <w:sz w:val="26"/>
          <w:szCs w:val="26"/>
          <w:lang w:eastAsia="ru-RU"/>
        </w:rPr>
        <w:t xml:space="preserve">На все иллюстрации в тексте документа должны быть даны ссылки. При ссылке необходимо писать слово «рисунок» и его номер, например: «в соответствии с рисунком 2». </w:t>
      </w:r>
      <w:r>
        <w:rPr>
          <w:rFonts w:eastAsia="Calibri" w:cs="Times New Roman" w:ascii="Times New Roman" w:hAnsi="Times New Roman"/>
          <w:bCs/>
          <w:i/>
          <w:sz w:val="26"/>
          <w:szCs w:val="26"/>
          <w:lang w:eastAsia="ru-RU"/>
        </w:rPr>
        <w:t>Не допускается</w:t>
      </w:r>
      <w:r>
        <w:rPr>
          <w:rFonts w:eastAsia="Calibri" w:cs="Times New Roman" w:ascii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6"/>
          <w:szCs w:val="26"/>
          <w:lang w:eastAsia="ru-RU"/>
        </w:rPr>
        <w:t xml:space="preserve">сокращение типа </w:t>
      </w:r>
      <w:r>
        <w:rPr>
          <w:rFonts w:eastAsia="Calibri" w:cs="Times New Roman" w:ascii="Times New Roman" w:hAnsi="Times New Roman"/>
          <w:i/>
          <w:sz w:val="26"/>
          <w:szCs w:val="26"/>
          <w:lang w:eastAsia="ru-RU"/>
        </w:rPr>
        <w:t>Рис.5.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Иллюстрации, за исключением иллюстраций, приведенных в приложениях, следует нумеровать арабскими цифрами сквозной нумерацией: Рисунок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Допускается нумеровать иллюстрации в пределах раздела документа. В этом случае номер иллюстрации состоит из номера раздела и порядкового номера иллюстрации, разделенных точкой: Рисунок 1.1.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Если рисунок в документе всего один, то он обозначатся: Рисунок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Иллюстрации должны иметь наименование и пояснительные данные (подрисуночный текст). Слово «Рисунок», его номер и через тире наименование помещают после пояснительных данных и располагают в центре под рисунком.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Пример оформления названия рисунка: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/>
        <w:drawing>
          <wp:inline distT="0" distB="0" distL="0" distR="0">
            <wp:extent cx="5222240" cy="212598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Рисунок 1.1 – </w:t>
      </w:r>
      <w:sdt>
        <w:sdtPr>
          <w:placeholder>
            <w:docPart w:val="106D554541BD4030AD2C488137D38FC8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cs="Times New Roman" w:ascii="Times New Roman" w:hAnsi="Times New Roman"/>
              <w:sz w:val="26"/>
              <w:szCs w:val="26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Перенос слов в наименовании рисунка не допускается</w:t>
          </w:r>
        </w:sdtContent>
      </w:sdt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>А.3 Оформление таблиц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Таблицу следует располагать непосредственно после текста, в котором она упоминается впервые, или на следующей странице.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На все таблицы документе должны быть ссылки. При ссылке следует печатать слово «таблица» с указанием ее номера</w:t>
      </w:r>
      <w:r>
        <w:rPr>
          <w:rFonts w:eastAsia="Times New Roman" w:cs="Times New Roman" w:ascii="Times New Roman" w:hAnsi="Times New Roman"/>
          <w:b/>
          <w:i/>
          <w:sz w:val="26"/>
          <w:szCs w:val="26"/>
          <w:lang w:eastAsia="ru-RU"/>
        </w:rPr>
        <w:t xml:space="preserve">. </w:t>
      </w:r>
      <w:r>
        <w:rPr>
          <w:rFonts w:cs="Times New Roman" w:ascii="Times New Roman" w:hAnsi="Times New Roman"/>
          <w:bCs/>
          <w:i/>
          <w:sz w:val="26"/>
          <w:szCs w:val="26"/>
        </w:rPr>
        <w:t xml:space="preserve">Не допускается </w:t>
      </w:r>
      <w:r>
        <w:rPr>
          <w:rFonts w:cs="Times New Roman" w:ascii="Times New Roman" w:hAnsi="Times New Roman"/>
          <w:i/>
          <w:sz w:val="26"/>
          <w:szCs w:val="26"/>
        </w:rPr>
        <w:t>сокращение – Табл</w:t>
      </w:r>
      <w:r>
        <w:rPr>
          <w:rFonts w:cs="Times New Roman" w:ascii="Times New Roman" w:hAnsi="Times New Roman"/>
          <w:sz w:val="26"/>
          <w:szCs w:val="26"/>
        </w:rPr>
        <w:t>.5.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Допускается применять размер шрифта в таблице меньший, чем в основном тексте документа.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Таблицы, за исключением таблиц приложений, следует нумеровать арабскими цифрами сквозной нумерацией.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Допускается нумеровать таблицы в пределах раздела при большом объеме документа. В этом случае номер таблицы состоит из номера раздела и порядкового номера таблицы, разделенных точкой: Таблица 2.3.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Наименование таблицы следует помещать над таблицей слева без абзацного отступа в одну строку с ее номером через тире, например,</w:t>
      </w:r>
      <w:r>
        <w:rPr>
          <w:rFonts w:cs="Times New Roman" w:ascii="Times New Roman" w:hAnsi="Times New Roman"/>
          <w:i/>
          <w:sz w:val="26"/>
          <w:szCs w:val="26"/>
        </w:rPr>
        <w:t xml:space="preserve"> </w:t>
      </w:r>
      <w:r>
        <w:rPr>
          <w:rFonts w:cs="Times New Roman" w:ascii="Times New Roman" w:hAnsi="Times New Roman"/>
          <w:bCs/>
          <w:sz w:val="26"/>
          <w:szCs w:val="26"/>
        </w:rPr>
        <w:t>Таблица 1 – Наименование.</w:t>
      </w:r>
      <w:r>
        <w:rPr>
          <w:rFonts w:cs="Times New Roman" w:ascii="Times New Roman" w:hAnsi="Times New Roman"/>
          <w:sz w:val="26"/>
          <w:szCs w:val="26"/>
        </w:rPr>
        <w:t xml:space="preserve">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</w:t>
      </w:r>
      <w:r>
        <w:rPr>
          <w:rFonts w:cs="Times New Roman" w:ascii="Times New Roman" w:hAnsi="Times New Roman"/>
          <w:i/>
          <w:sz w:val="26"/>
          <w:szCs w:val="26"/>
        </w:rPr>
        <w:t>один межстрочный интервал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Если таблица занимает больше двух страниц, то при переносе части таблицы на другую страницу пишут слова «Продолжение таблицы 1», пример оформления названия таблицы: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Таблица 1.1 – </w:t>
      </w:r>
      <w:sdt>
        <w:sdtPr>
          <w:placeholder>
            <w:docPart w:val="A788319EAD68421F90677DADC4975FC7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cs="Times New Roman" w:ascii="Times New Roman" w:hAnsi="Times New Roman"/>
              <w:sz w:val="26"/>
              <w:szCs w:val="26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4"/>
        <w:gridCol w:w="2391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br w:type="page"/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Продолжение таблицы 1.1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4"/>
        <w:gridCol w:w="2391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>А.4 Оформление формул и уравнений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Уравнения и формулы следует выделять из текста в отдельную строку. Выше и ниже каждой формулы или уравнения должно быть оставлено 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не менее одной свободной строки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. Если уравнение не умещается в одну строку, оно должно быть перенесено после знака равенства (=) или после знаков плюс (+), минус (–), умножения (×), деления (:) или других математических знаков. На новой строке знак повторяется.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Пояснение значений символов и числовых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ru-RU" w:bidi="ar-SA"/>
        </w:rPr>
        <w:t>коэффициентов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 с абзаца.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Формулы следует располагать 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посередине строки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и обозначать порядковой нумерацией в пределах всего документа арабскими цифрами в круглых скобках в крайнем правом положении на строке. Одну формулу обозначают (1).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Ссылки на порядковые номера формул приводятся в скобках в формуле (1). 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точкой: (3.1)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Пример: </w:t>
      </w:r>
    </w:p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Для рядов данных 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x, y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коэффициенты линейных зависимостей 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a, b (y </w:t>
      </w:r>
      <w:r>
        <w:rPr>
          <w:rFonts w:eastAsia="Times New Roman" w:cs="Times New Roman" w:ascii="Times New Roman" w:hAnsi="Times New Roman"/>
          <w:iCs/>
          <w:sz w:val="26"/>
          <w:szCs w:val="26"/>
          <w:lang w:eastAsia="ru-RU"/>
        </w:rPr>
        <w:t>=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 a </w:t>
      </w:r>
      <w:r>
        <w:rPr>
          <w:rFonts w:eastAsia="Times New Roman" w:cs="Times New Roman" w:ascii="Times New Roman" w:hAnsi="Times New Roman"/>
          <w:iCs/>
          <w:sz w:val="26"/>
          <w:szCs w:val="26"/>
          <w:lang w:eastAsia="ru-RU"/>
        </w:rPr>
        <w:t>+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 bx)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рассчитываются, как решение системы уравнений (3.1):</w:t>
      </w:r>
    </w:p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3"/>
        <w:gridCol w:w="937"/>
      </w:tblGrid>
      <w:tr>
        <w:trPr/>
        <w:tc>
          <w:tcPr>
            <w:tcW w:w="86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sz w:val="22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</m:e>
                    </m:mr>
                    <m:m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</m:e>
                      <m:e>
                        <m:sSup>
                          <m:e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m>
                    <m:m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mr>
                    <m:m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xy</m:t>
                            </m:r>
                          </m:e>
                        </m:bar>
                      </m:e>
                    </m:mr>
                  </m:m>
                </m:e>
              </m:d>
            </m:oMath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  <w:t>,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ru-RU" w:bidi="ar-SA"/>
              </w:rPr>
              <w:t>(3.1)</w:t>
            </w:r>
          </w:p>
        </w:tc>
      </w:tr>
    </w:tbl>
    <w:p>
      <w:pPr>
        <w:pStyle w:val="Normal"/>
        <w:spacing w:lineRule="auto" w:line="360" w:before="12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где </w:t>
      </w: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x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– средние или максимальные значения температуры процессоров;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eastAsia="ru-RU"/>
        </w:rPr>
        <w:t>y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– температуры на выходе бака;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,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</m:oMath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– среднее арифметическое значение элементов ряда.</w:t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А.5 Оформление списка использованных источников</w:t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Список должен содержать сведения об источниках, использованных при составлении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документа</w:t>
      </w:r>
      <w:r>
        <w:rPr>
          <w:rFonts w:cs="Times New Roman" w:ascii="Times New Roman" w:hAnsi="Times New Roman"/>
          <w:sz w:val="26"/>
          <w:szCs w:val="26"/>
        </w:rPr>
        <w:t xml:space="preserve">. Сведения об источниках приводятся в соответствии с требованиями ГОСТ 7.1, </w:t>
      </w:r>
      <w:hyperlink r:id="rId4">
        <w:r>
          <w:rPr>
            <w:rStyle w:val="InternetLink"/>
            <w:rFonts w:cs="Times New Roman" w:ascii="Times New Roman" w:hAnsi="Times New Roman"/>
            <w:color w:val="auto"/>
            <w:sz w:val="26"/>
            <w:szCs w:val="26"/>
            <w:u w:val="none"/>
          </w:rPr>
          <w:t>ГОСТ 7.80</w:t>
        </w:r>
      </w:hyperlink>
      <w:r>
        <w:rPr>
          <w:rFonts w:cs="Times New Roman" w:ascii="Times New Roman" w:hAnsi="Times New Roman"/>
          <w:sz w:val="26"/>
          <w:szCs w:val="26"/>
        </w:rPr>
        <w:t xml:space="preserve">, </w:t>
      </w:r>
      <w:hyperlink r:id="rId5">
        <w:r>
          <w:rPr>
            <w:rStyle w:val="InternetLink"/>
            <w:rFonts w:cs="Times New Roman" w:ascii="Times New Roman" w:hAnsi="Times New Roman"/>
            <w:color w:val="auto"/>
            <w:sz w:val="26"/>
            <w:szCs w:val="26"/>
            <w:u w:val="none"/>
          </w:rPr>
          <w:t>ГОСТ 7.82</w:t>
        </w:r>
      </w:hyperlink>
      <w:r>
        <w:rPr>
          <w:rStyle w:val="InternetLink"/>
          <w:rFonts w:cs="Times New Roman" w:ascii="Times New Roman" w:hAnsi="Times New Roman"/>
          <w:color w:val="auto"/>
          <w:sz w:val="26"/>
          <w:szCs w:val="26"/>
          <w:u w:val="none"/>
        </w:rPr>
        <w:t xml:space="preserve"> (пример приведен в Приложении Б)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Сведения об источниках следует располагать в порядке появления ссылок на источники в тексте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документа </w:t>
      </w:r>
      <w:r>
        <w:rPr>
          <w:rFonts w:cs="Times New Roman" w:ascii="Times New Roman" w:hAnsi="Times New Roman"/>
          <w:sz w:val="26"/>
          <w:szCs w:val="26"/>
        </w:rPr>
        <w:t>и нумеровать арабскими цифрами с точкой и печатать с абзацного отступа.</w:t>
      </w:r>
    </w:p>
    <w:p>
      <w:pPr>
        <w:pStyle w:val="Footnote"/>
        <w:spacing w:lineRule="auto" w:line="36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Список использованных источников должен включать библиографические записи на документы, использованные при составлении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документа</w:t>
      </w:r>
      <w:r>
        <w:rPr>
          <w:rFonts w:cs="Times New Roman" w:ascii="Times New Roman" w:hAnsi="Times New Roman"/>
          <w:sz w:val="26"/>
          <w:szCs w:val="26"/>
        </w:rPr>
        <w:t xml:space="preserve">, ссылки на которые оформляют арабскими цифрами в квадратных скобках [1], [3]–[10] в тексте документа. На каждый источник в тексте </w:t>
      </w: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документа</w:t>
      </w:r>
      <w:r>
        <w:rPr>
          <w:rFonts w:cs="Times New Roman" w:ascii="Times New Roman" w:hAnsi="Times New Roman"/>
          <w:sz w:val="26"/>
          <w:szCs w:val="26"/>
        </w:rPr>
        <w:t xml:space="preserve"> должна быть такая ссылка.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ind w:hanging="0"/>
        <w:jc w:val="center"/>
        <w:rPr>
          <w:sz w:val="26"/>
          <w:szCs w:val="26"/>
        </w:rPr>
      </w:pPr>
      <w:bookmarkStart w:id="25" w:name="__RefHeading___Toc3460_1511805350"/>
      <w:bookmarkStart w:id="26" w:name="_Toc153218544"/>
      <w:bookmarkEnd w:id="25"/>
      <w:r>
        <w:rPr>
          <w:sz w:val="26"/>
          <w:szCs w:val="26"/>
        </w:rPr>
        <w:t>ПРИЛОЖЕНИЕ Б.</w:t>
      </w:r>
      <w:bookmarkStart w:id="27" w:name="Источники"/>
      <w:r>
        <w:rPr>
          <w:sz w:val="26"/>
          <w:szCs w:val="26"/>
        </w:rPr>
        <w:br/>
        <w:t>Пример списка использованных источников</w:t>
      </w:r>
      <w:bookmarkEnd w:id="26"/>
      <w:bookmarkEnd w:id="27"/>
    </w:p>
    <w:p>
      <w:pPr>
        <w:pStyle w:val="Footnote"/>
        <w:spacing w:lineRule="auto" w: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1. </w:t>
      </w:r>
      <w:sdt>
        <w:sdtPr>
          <w:placeholder>
            <w:docPart w:val="FB9A054AEA284DDD980413F1778E44C4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  <w:t>DeRidder J.L.</w:t>
          </w:r>
        </w:sdtContent>
      </w:sdt>
      <w:r>
        <w:rPr>
          <w:rFonts w:eastAsia="Calibri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>
          <w:placeholder>
            <w:docPart w:val="501C6DECA516400EA63D1D3D91EBCEEE"/>
          </w:placeholder>
        </w:sdtPr>
        <w:sdtContent>
          <w:r>
            <w:rPr>
              <w:rFonts w:eastAsia="Calibri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The immediate prospects for the application of ontologies in digital libraries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>//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>
          <w:placeholder>
            <w:docPart w:val="F69E90A52FDB4794A8275E7B7862D0DE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Knowledge Organization</w:t>
          </w:r>
        </w:sdtContent>
      </w:sdt>
      <w:r>
        <w:rPr>
          <w:sz w:val="26"/>
          <w:szCs w:val="26"/>
          <w:lang w:val="en-US"/>
        </w:rPr>
        <w:t xml:space="preserve"> – </w:t>
      </w:r>
      <w:sdt>
        <w:sdtPr>
          <w:placeholder>
            <w:docPart w:val="B444E037FBAB4412A6E690247497C094"/>
          </w:placeholder>
        </w:sdtPr>
        <w:sdtContent>
          <w:r>
            <w:rPr>
              <w:sz w:val="26"/>
              <w:szCs w:val="26"/>
              <w:lang w:val="en-US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2007</w:t>
          </w:r>
        </w:sdtContent>
      </w:sdt>
      <w:r>
        <w:rPr>
          <w:sz w:val="26"/>
          <w:szCs w:val="26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</w:t>
      </w:r>
      <w:sdt>
        <w:sdtPr>
          <w:placeholder>
            <w:docPart w:val="9E5CC3BFD84C4EE38920758458865FE5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Vol. 34, No. 4</w:t>
          </w:r>
        </w:sdtContent>
      </w:sdt>
      <w:r>
        <w:rPr>
          <w:sz w:val="26"/>
          <w:szCs w:val="26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</w:t>
      </w:r>
      <w:sdt>
        <w:sdtPr>
          <w:placeholder>
            <w:docPart w:val="335A553725A74BE4AB65D52D9F4D59E3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P. 227 – 246</w:t>
          </w:r>
        </w:sdtContent>
      </w:sdt>
      <w:r>
        <w:rPr>
          <w:sz w:val="26"/>
          <w:szCs w:val="26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2. </w:t>
      </w:r>
      <w:sdt>
        <w:sdtPr>
          <w:placeholder>
            <w:docPart w:val="EDEF4A40F817406D8CBBE2055D1F508B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Прогноз научно-технологического развития Российской Федерации на период до 2030 года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. 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>
          <w:placeholder>
            <w:docPart w:val="F82611ACF56C405EA24DDB8D03025C96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http://government.ru/media/files/41d4b737638891da2184/pdf 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>
          <w:placeholder>
            <w:docPart w:val="84A8EE8D47C64A0FABC967FF589C2B8C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15.11.2016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).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>
          <w:placeholder>
            <w:docPart w:val="A9DF98720E454DC5B41DE365E7EC8166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val="en-US" w:eastAsia="ru-RU"/>
            </w:rPr>
            <w:t>15.11.2016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12. </w:t>
      </w:r>
      <w:sdt>
        <w:sdtPr/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Леготин Е.Ю.</w:t>
          </w:r>
        </w:sdtContent>
      </w:sdt>
      <w:r>
        <w:rPr>
          <w:rFonts w:eastAsia="Calibri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/>
        <w:sdtContent>
          <w:r>
            <w:rPr>
              <w:rFonts w:eastAsia="Calibri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Организация метаданных в хранилище данных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>//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Научный поиск. Технические науки: Материалы 3-й науч. конф. аспирантов и докторантов/отв. за вып. С.Д. Ваулин; Юж.-Урал. гос. ун-т. Т. 2.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– </w:t>
      </w:r>
      <w:sdt>
        <w:sdtPr/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Челябинск: Издательский центр ЮУрГУ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, 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2011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–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С.</w:t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 xml:space="preserve"> </w:t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128 – 132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13. 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Статистические показатели российского книгоиздания в 2006 г.: цифры и рейтинги [Электронный ресурс]. – 2006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http://bookhamber.ru/stat_2006.htm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12.03.2009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14. </w:t>
      </w:r>
      <w:sdt>
        <w:sdtPr/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Приказ Минобразования РФ от 19 декабря 2013 г. N 1367 «Об утверждении 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http://www. consultant.ru/document/cons_doc_LAW_159671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04.08.2016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15. </w:t>
      </w:r>
      <w:sdt>
        <w:sdtPr>
          <w:placeholder>
            <w:docPart w:val="97B2AEA0CB1B4C9E809D663461ABCD44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ГОСТ 7.0.96-2016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 </w:t>
      </w:r>
      <w:sdt>
        <w:sdtPr>
          <w:placeholder>
            <w:docPart w:val="0DACC86ADB1C44BBAA53567D596BF2EF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  <w:t>Система стандартов по информации, библиотечному и издательскому делу. Электронные библиотеки. Основные виды. Структура. Технология формирования.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– </w:t>
      </w:r>
      <w:sdt>
        <w:sdtPr>
          <w:placeholder>
            <w:docPart w:val="21581DECFF334E7CBF494BBDFBA3C7E0"/>
          </w:placeholder>
        </w:sdtPr>
        <w:sdtContent>
          <w:r>
            <w:rPr>
              <w:rFonts w:eastAsia="Times New Roman" w:cs="Times New Roman" w:ascii="Times New Roman" w:hAnsi="Times New Roman"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М: Стандартинформ, 2016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. – </w:t>
      </w:r>
      <w:sdt>
        <w:sdtPr>
          <w:placeholder>
            <w:docPart w:val="54A37587FBD54183BABF67F21F798470"/>
          </w:placeholder>
        </w:sdtPr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16 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с.</w:t>
      </w:r>
    </w:p>
    <w:sectPr>
      <w:footerReference w:type="default" r:id="rId6"/>
      <w:type w:val="nextPage"/>
      <w:pgSz w:w="11909" w:h="16834"/>
      <w:pgMar w:left="1814" w:right="850" w:gutter="0" w:header="0" w:top="1134" w:footer="708" w:bottom="11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423154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Footer"/>
      <w:rPr>
        <w:sz w:val="26"/>
        <w:szCs w:val="26"/>
      </w:rPr>
    </w:pPr>
    <w:r>
      <w:rPr>
        <w:sz w:val="26"/>
        <w:szCs w:val="2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8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6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a1043"/>
    <w:pPr>
      <w:keepNext w:val="true"/>
      <w:keepLines/>
      <w:spacing w:lineRule="auto" w:line="360" w:before="0" w:after="0"/>
      <w:ind w:left="709" w:hanging="0"/>
      <w:jc w:val="both"/>
      <w:outlineLvl w:val="2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2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6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Standard" w:customStyle="1">
    <w:name w:val="Standard Знак"/>
    <w:basedOn w:val="DefaultParagraphFont"/>
    <w:link w:val="Standard1"/>
    <w:qFormat/>
    <w:locked/>
    <w:rsid w:val="00c30ede"/>
    <w:rPr>
      <w:rFonts w:ascii="Calibri" w:hAnsi="Calibri" w:eastAsia="SimSun" w:cs="Tahoma"/>
      <w:kern w:val="2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a1043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7" w:customStyle="1">
    <w:name w:val="Основной текст Знак"/>
    <w:basedOn w:val="DefaultParagraphFont"/>
    <w:uiPriority w:val="1"/>
    <w:qFormat/>
    <w:rsid w:val="00b75bc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7"/>
    <w:uiPriority w:val="1"/>
    <w:qFormat/>
    <w:rsid w:val="00b75bc1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2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8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b6a0f"/>
    <w:pPr>
      <w:spacing w:lineRule="auto" w:line="360" w:before="0" w:after="100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tyle16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220" w:hanging="0"/>
      <w:jc w:val="both"/>
    </w:pPr>
    <w:rPr>
      <w:rFonts w:ascii="Times New Roman" w:hAnsi="Times New Roman"/>
      <w:sz w:val="26"/>
    </w:rPr>
  </w:style>
  <w:style w:type="paragraph" w:styleId="Contents3">
    <w:name w:val="TOC 3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440" w:hanging="0"/>
      <w:jc w:val="both"/>
    </w:pPr>
    <w:rPr>
      <w:rFonts w:ascii="Times New Roman" w:hAnsi="Times New Roman"/>
      <w:sz w:val="26"/>
    </w:rPr>
  </w:style>
  <w:style w:type="paragraph" w:styleId="Standard1" w:customStyle="1">
    <w:name w:val="Standard"/>
    <w:link w:val="Standard"/>
    <w:qFormat/>
    <w:rsid w:val="00c30ed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hart" Target="charts/chart1.xml"/><Relationship Id="rId4" Type="http://schemas.openxmlformats.org/officeDocument/2006/relationships/hyperlink" Target="consultantplus://offline/ref=1664E79CF97BFD0858C3BB176F68BD1AE7E0C40EC8784F205FE14ABC80BBR0M" TargetMode="External"/><Relationship Id="rId5" Type="http://schemas.openxmlformats.org/officeDocument/2006/relationships/hyperlink" Target="consultantplus://offline/ref=1664E79CF97BFD0858C3AD1B6D68BD1AEAEBC600CA2A18220EB444BBR9M" TargetMode="Externa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rgbClr val="4f81bd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rgbClr val="c0504d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rgbClr val="9bbb59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gapWidth val="150"/>
        <c:overlap val="100"/>
        <c:axId val="22466719"/>
        <c:axId val="26821948"/>
      </c:barChart>
      <c:catAx>
        <c:axId val="2246671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6821948"/>
        <c:crosses val="autoZero"/>
        <c:auto val="1"/>
        <c:lblAlgn val="ctr"/>
        <c:lblOffset val="100"/>
        <c:noMultiLvlLbl val="0"/>
      </c:catAx>
      <c:valAx>
        <c:axId val="26821948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2466719"/>
        <c:crosses val="autoZero"/>
        <c:crossBetween val="between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Application>LibreOffice/7.4.7.2$Linux_X86_64 LibreOffice_project/40$Build-2</Application>
  <AppVersion>15.0000</AppVersion>
  <Pages>19</Pages>
  <Words>2311</Words>
  <Characters>15827</Characters>
  <CharactersWithSpaces>18038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dcterms:modified xsi:type="dcterms:W3CDTF">2025-01-12T22:53:45Z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