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bookmarkStart w:id="0" w:name="_Hlk153217068"/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1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1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3218533">
            <w:r>
              <w:rPr>
                <w:webHidden/>
                <w:rStyle w:val="IndexLink"/>
              </w:rPr>
              <w:t>1 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4">
            <w:r>
              <w:rPr>
                <w:webHidden/>
                <w:rStyle w:val="IndexLink"/>
              </w:rPr>
              <w:t>2 Название раздела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5">
            <w:r>
              <w:rPr>
                <w:webHidden/>
                <w:rStyle w:val="IndexLink"/>
              </w:rPr>
              <w:t>2.1 Название подраздела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6">
            <w:r>
              <w:rPr>
                <w:webHidden/>
                <w:rStyle w:val="IndexLink"/>
              </w:rPr>
              <w:t>2.1.1 Название пункта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7">
            <w:r>
              <w:rPr>
                <w:webHidden/>
                <w:rStyle w:val="IndexLink"/>
              </w:rPr>
              <w:t>2.1.2 Название пункта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8">
            <w:r>
              <w:rPr>
                <w:webHidden/>
                <w:rStyle w:val="IndexLink"/>
              </w:rPr>
              <w:t>2.2 Название подраздела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39">
            <w:r>
              <w:rPr>
                <w:webHidden/>
                <w:rStyle w:val="IndexLink"/>
              </w:rPr>
              <w:t>2.2.1 Название пункта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40">
            <w:r>
              <w:rPr>
                <w:webHidden/>
                <w:rStyle w:val="IndexLink"/>
              </w:rPr>
              <w:t>2.2.2 Название пункта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41">
            <w:r>
              <w:rPr>
                <w:webHidden/>
                <w:rStyle w:val="IndexLink"/>
              </w:rPr>
              <w:t>3 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42">
            <w:r>
              <w:rPr>
                <w:webHidden/>
                <w:rStyle w:val="IndexLink"/>
              </w:rPr>
              <w:t>4 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43">
            <w:r>
              <w:rPr>
                <w:webHidden/>
                <w:rStyle w:val="IndexLink"/>
                <w:rFonts w:eastAsia="Times New Roman"/>
                <w:lang w:eastAsia="ru-RU"/>
              </w:rPr>
              <w:t xml:space="preserve">ПРИЛОЖЕНИЕ А. </w:t>
            </w:r>
            <w:r>
              <w:rPr>
                <w:rStyle w:val="IndexLink"/>
                <w:rFonts w:eastAsia="Times New Roman" w:cs="Arial"/>
                <w:kern w:val="2"/>
                <w:lang w:eastAsia="ru-RU"/>
              </w:rPr>
              <w:t>Основные требования к оформлению текста ВКР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218544">
            <w:r>
              <w:rPr>
                <w:webHidden/>
                <w:rStyle w:val="IndexLink"/>
              </w:rPr>
              <w:t>ПРИЛОЖЕНИЕ Б. Пример списка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_Toc153218544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" w:name="_Toc153218533"/>
      <w:r>
        <w:rPr>
          <w:sz w:val="26"/>
          <w:szCs w:val="26"/>
        </w:rPr>
        <w:t>1 Введение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Во вводной части документа приводится краткое описание проблемной области, к которой относится тема ВКР, указывается цель работы и формулируются задачи, которые необходимо решить для достижения поставленной цели.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Toc153218534"/>
      <w:r>
        <w:rPr>
          <w:sz w:val="26"/>
          <w:szCs w:val="26"/>
        </w:rPr>
        <w:t>2 Название раздела</w:t>
      </w:r>
      <w:bookmarkEnd w:id="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Основная часть документа состоит из некоторого количества разделов, подразделов и пунктов в зависимости от выбранной структуры ВКР. Каждый раздел начинается с новой страницы. В разделе должно быть более одного подраздела, в противном случае подразделы не выделяются. Аналогичным образом в подразделе должно быть более одного пункта, в противном случае пункты не выделяются.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Требования к оформлению ВКР приведены в Приложении А.</w:t>
      </w:r>
    </w:p>
    <w:p>
      <w:pPr>
        <w:pStyle w:val="Heading2"/>
        <w:rPr>
          <w:sz w:val="26"/>
          <w:szCs w:val="26"/>
        </w:rPr>
      </w:pPr>
      <w:bookmarkStart w:id="4" w:name="_Toc153218535"/>
      <w:r>
        <w:rPr>
          <w:sz w:val="26"/>
          <w:szCs w:val="26"/>
        </w:rPr>
        <w:t>2.1 Название подраздела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5" w:name="_Toc153218536"/>
      <w:r>
        <w:rPr>
          <w:sz w:val="26"/>
          <w:szCs w:val="26"/>
        </w:rPr>
        <w:t>2.1.1 Название пункта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6" w:name="_Toc153218537"/>
      <w:r>
        <w:rPr>
          <w:sz w:val="26"/>
          <w:szCs w:val="26"/>
        </w:rPr>
        <w:t>2.1.2 Название пункта</w:t>
      </w:r>
      <w:bookmarkEnd w:id="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2"/>
        <w:rPr>
          <w:sz w:val="26"/>
          <w:szCs w:val="26"/>
        </w:rPr>
      </w:pPr>
      <w:bookmarkStart w:id="7" w:name="_Toc153218538"/>
      <w:r>
        <w:rPr>
          <w:sz w:val="26"/>
          <w:szCs w:val="26"/>
        </w:rPr>
        <w:t>2.2 Название подраздела</w:t>
      </w:r>
      <w:bookmarkEnd w:id="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8" w:name="_Toc153218539"/>
      <w:r>
        <w:rPr>
          <w:sz w:val="26"/>
          <w:szCs w:val="26"/>
        </w:rPr>
        <w:t>2.2.1 Название пункта</w:t>
      </w:r>
      <w:bookmarkEnd w:id="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9" w:name="_Toc153218540"/>
      <w:r>
        <w:rPr>
          <w:sz w:val="26"/>
          <w:szCs w:val="26"/>
        </w:rPr>
        <w:t>2.2.2 Название пункта</w:t>
      </w:r>
      <w:bookmarkEnd w:id="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0" w:name="_Toc153218541"/>
      <w:r>
        <w:rPr>
          <w:sz w:val="26"/>
          <w:szCs w:val="26"/>
        </w:rPr>
        <w:t>3 Заключение</w:t>
      </w:r>
      <w:bookmarkEnd w:id="1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1" w:name="_Toc153218542"/>
      <w:r>
        <w:rPr>
          <w:sz w:val="26"/>
          <w:szCs w:val="26"/>
        </w:rPr>
        <w:t>4 Список использованных источников</w:t>
      </w:r>
      <w:bookmarkEnd w:id="1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Список библиографических ссылок, оформленных по ГОСТ (примеры приведены в приложении Б).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ind w:hanging="0"/>
        <w:jc w:val="center"/>
        <w:rPr>
          <w:rFonts w:eastAsia="Times New Roman" w:cs="Arial"/>
          <w:kern w:val="2"/>
          <w:sz w:val="26"/>
          <w:szCs w:val="26"/>
          <w:lang w:eastAsia="ru-RU"/>
        </w:rPr>
      </w:pPr>
      <w:bookmarkStart w:id="12" w:name="_Toc153218543"/>
      <w:bookmarkStart w:id="13" w:name="_Toc1372613"/>
      <w:bookmarkStart w:id="14" w:name="Приложение"/>
      <w:r>
        <w:rPr>
          <w:rFonts w:eastAsia="Times New Roman"/>
          <w:sz w:val="26"/>
          <w:szCs w:val="26"/>
          <w:lang w:eastAsia="ru-RU"/>
        </w:rPr>
        <w:t>ПРИЛОЖЕНИЕ А</w:t>
      </w:r>
      <w:bookmarkEnd w:id="14"/>
      <w:r>
        <w:rPr>
          <w:rFonts w:eastAsia="Times New Roman"/>
          <w:sz w:val="26"/>
          <w:szCs w:val="26"/>
          <w:lang w:eastAsia="ru-RU"/>
        </w:rPr>
        <w:t>.</w:t>
        <w:br/>
      </w:r>
      <w:bookmarkEnd w:id="13"/>
      <w:r>
        <w:rPr>
          <w:rFonts w:eastAsia="Times New Roman" w:cs="Arial"/>
          <w:kern w:val="2"/>
          <w:sz w:val="26"/>
          <w:szCs w:val="26"/>
          <w:lang w:eastAsia="ru-RU"/>
        </w:rPr>
        <w:t>Основные требования к оформлению текста ВКР</w:t>
      </w:r>
      <w:bookmarkEnd w:id="1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А.1 Общие требования к оформлению текста ВКР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Шрифт: единый, рекомендуемый – Times New Roman,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Цвет: черный,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Размер: не менее 12 </w:t>
      </w:r>
      <w:r>
        <w:rPr>
          <w:rFonts w:cs="Times New Roman" w:ascii="Times New Roman" w:hAnsi="Times New Roman"/>
          <w:color w:val="000000"/>
          <w:sz w:val="26"/>
          <w:szCs w:val="26"/>
        </w:rPr>
        <w:t>пт., одинаковый во всем документе,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Выравнивание </w:t>
      </w:r>
      <w:r>
        <w:rPr>
          <w:rFonts w:cs="Times New Roman" w:ascii="Times New Roman" w:hAnsi="Times New Roman"/>
          <w:color w:val="000000"/>
          <w:sz w:val="26"/>
          <w:szCs w:val="26"/>
        </w:rPr>
        <w:t>текста – по ширине,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Межстрочный интервал </w:t>
      </w:r>
      <w:r>
        <w:rPr>
          <w:rFonts w:cs="Times New Roman" w:ascii="Times New Roman" w:hAnsi="Times New Roman"/>
          <w:color w:val="000000"/>
          <w:sz w:val="26"/>
          <w:szCs w:val="26"/>
        </w:rPr>
        <w:t>– полуторный (исключения: оформление титула, названий рисунков и таблиц),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Абзацный отступ </w:t>
      </w:r>
      <w:r>
        <w:rPr>
          <w:rFonts w:cs="Times New Roman" w:ascii="Times New Roman" w:hAnsi="Times New Roman"/>
          <w:color w:val="000000"/>
          <w:sz w:val="26"/>
          <w:szCs w:val="26"/>
        </w:rPr>
        <w:t>– 1,25 см.,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Отступы и интервалы </w:t>
      </w:r>
      <w:r>
        <w:rPr>
          <w:rFonts w:cs="Times New Roman" w:ascii="Times New Roman" w:hAnsi="Times New Roman"/>
          <w:color w:val="000000"/>
          <w:sz w:val="26"/>
          <w:szCs w:val="26"/>
        </w:rPr>
        <w:t>в тексте – 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Полужирный шрифт</w:t>
      </w:r>
      <w:r>
        <w:rPr>
          <w:rFonts w:cs="Times New Roman" w:ascii="Times New Roman" w:hAnsi="Times New Roman"/>
          <w:b/>
          <w:bCs/>
          <w:sz w:val="26"/>
          <w:szCs w:val="26"/>
        </w:rPr>
        <w:t>:</w:t>
      </w:r>
      <w:r>
        <w:rPr>
          <w:rFonts w:eastAsia="Arial Unicode MS" w:cs="Arial Unicode MS" w:ascii="Arial Unicode MS" w:hAnsi="Arial Unicode MS"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применяют только для заголовков структурных элементов документа</w:t>
      </w:r>
      <w:r>
        <w:rPr>
          <w:rFonts w:cs="Times New Roman" w:ascii="Times New Roman" w:hAnsi="Times New Roman"/>
          <w:sz w:val="26"/>
          <w:szCs w:val="26"/>
        </w:rPr>
        <w:t>,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для заголовков разделов и подразделов основной части документа.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Курсив: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 xml:space="preserve">допускается для обозначения объектов и написания терминов. Курсив также может использоваться для </w:t>
      </w:r>
      <w:r>
        <w:rPr>
          <w:rFonts w:cs="Times New Roman" w:ascii="Times New Roman" w:hAnsi="Times New Roman"/>
          <w:bCs/>
          <w:i/>
          <w:sz w:val="26"/>
          <w:szCs w:val="26"/>
        </w:rPr>
        <w:t>акцентирования внимания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 xml:space="preserve">, </w:t>
      </w:r>
      <w:r>
        <w:rPr>
          <w:rFonts w:cs="Times New Roman" w:ascii="Times New Roman" w:hAnsi="Times New Roman"/>
          <w:bCs/>
          <w:i/>
          <w:sz w:val="26"/>
          <w:szCs w:val="26"/>
        </w:rPr>
        <w:t>выделения текста в документе</w:t>
      </w:r>
      <w:r>
        <w:rPr>
          <w:rFonts w:cs="Times New Roman" w:ascii="Times New Roman" w:hAnsi="Times New Roman"/>
          <w:bCs/>
          <w:sz w:val="26"/>
          <w:szCs w:val="26"/>
        </w:rPr>
        <w:t xml:space="preserve">, но при этом текст должен быть </w:t>
      </w:r>
      <w:r>
        <w:rPr>
          <w:rFonts w:cs="Times New Roman" w:ascii="Times New Roman" w:hAnsi="Times New Roman"/>
          <w:bCs/>
          <w:i/>
          <w:sz w:val="26"/>
          <w:szCs w:val="26"/>
        </w:rPr>
        <w:t>того же кегля и гарнитуры</w:t>
      </w:r>
      <w:r>
        <w:rPr>
          <w:rFonts w:cs="Times New Roman" w:ascii="Times New Roman" w:hAnsi="Times New Roman"/>
          <w:bCs/>
          <w:sz w:val="26"/>
          <w:szCs w:val="26"/>
        </w:rPr>
        <w:t>.  Разрешается для написания определенных терминов, формул, теорем применять шрифты разной гарнитуры.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Размеры полей: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>левое – 3,0 см., правое – 1,5 см., верхнее и нижнее – 2,0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Номера страниц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– арабскими цифрами, </w:t>
      </w:r>
      <w:r>
        <w:rPr>
          <w:rFonts w:cs="Times New Roman" w:ascii="Times New Roman" w:hAnsi="Times New Roman"/>
          <w:bCs/>
          <w:i/>
          <w:sz w:val="26"/>
          <w:szCs w:val="26"/>
        </w:rPr>
        <w:t>внизу по центру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 xml:space="preserve">. </w:t>
      </w:r>
      <w:r>
        <w:rPr>
          <w:rFonts w:cs="Times New Roman" w:ascii="Times New Roman" w:hAnsi="Times New Roman"/>
          <w:bCs/>
          <w:sz w:val="26"/>
          <w:szCs w:val="26"/>
        </w:rPr>
        <w:t>Титульный лист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включают в общую нумерацию страниц документа. </w:t>
      </w:r>
      <w:r>
        <w:rPr>
          <w:rFonts w:cs="Times New Roman" w:ascii="Times New Roman" w:hAnsi="Times New Roman"/>
          <w:i/>
          <w:sz w:val="26"/>
          <w:szCs w:val="26"/>
        </w:rPr>
        <w:t>Номер</w:t>
      </w:r>
      <w:r>
        <w:rPr>
          <w:rFonts w:cs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страницы на титульном листе </w:t>
      </w:r>
      <w:r>
        <w:rPr>
          <w:rFonts w:cs="Times New Roman" w:ascii="Times New Roman" w:hAnsi="Times New Roman"/>
          <w:i/>
          <w:sz w:val="26"/>
          <w:szCs w:val="26"/>
        </w:rPr>
        <w:t>не проставляют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. </w:t>
      </w:r>
      <w:r>
        <w:rPr>
          <w:rFonts w:cs="Times New Roman" w:ascii="Times New Roman" w:hAnsi="Times New Roman"/>
          <w:i/>
          <w:sz w:val="26"/>
          <w:szCs w:val="26"/>
        </w:rPr>
        <w:t xml:space="preserve">Приложения </w:t>
      </w:r>
      <w:r>
        <w:rPr>
          <w:rFonts w:cs="Times New Roman" w:ascii="Times New Roman" w:hAnsi="Times New Roman"/>
          <w:color w:val="000000"/>
          <w:sz w:val="26"/>
          <w:szCs w:val="26"/>
        </w:rPr>
        <w:t>должны иметь общую с остальной частью документа сквозную нумерацию страниц.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Оформление перечислений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: </w:t>
      </w:r>
      <w:r>
        <w:rPr>
          <w:rFonts w:cs="Times New Roman" w:ascii="Times New Roman" w:hAnsi="Times New Roman"/>
          <w:bCs/>
          <w:sz w:val="26"/>
          <w:szCs w:val="26"/>
        </w:rPr>
        <w:t>п</w:t>
      </w:r>
      <w:r>
        <w:rPr>
          <w:rFonts w:cs="Times New Roman" w:ascii="Times New Roman" w:hAnsi="Times New Roman"/>
          <w:sz w:val="26"/>
          <w:szCs w:val="26"/>
        </w:rPr>
        <w:t xml:space="preserve">еред каждым элементом перечисления следует ставить </w:t>
      </w:r>
      <w:r>
        <w:rPr>
          <w:rFonts w:cs="Times New Roman" w:ascii="Times New Roman" w:hAnsi="Times New Roman"/>
          <w:i/>
          <w:sz w:val="26"/>
          <w:szCs w:val="26"/>
        </w:rPr>
        <w:t>тире</w:t>
      </w:r>
      <w:r>
        <w:rPr>
          <w:rFonts w:cs="Times New Roman" w:ascii="Times New Roman" w:hAnsi="Times New Roman"/>
          <w:sz w:val="26"/>
          <w:szCs w:val="26"/>
        </w:rPr>
        <w:t xml:space="preserve"> или, при необходимости ссылки в тексте документа на один из элементов перечисления, вместо тире ставят </w:t>
      </w:r>
      <w:r>
        <w:rPr>
          <w:rFonts w:cs="Times New Roman" w:ascii="Times New Roman" w:hAnsi="Times New Roman"/>
          <w:i/>
          <w:sz w:val="26"/>
          <w:szCs w:val="26"/>
        </w:rPr>
        <w:t xml:space="preserve">строчные буквы, </w:t>
      </w:r>
      <w:r>
        <w:rPr>
          <w:rFonts w:cs="Times New Roman" w:ascii="Times New Roman" w:hAnsi="Times New Roman"/>
          <w:sz w:val="26"/>
          <w:szCs w:val="26"/>
        </w:rPr>
        <w:t>начиная с буквы «а» (за исключением – е, з, й, о, ч, ъ, ы, ь), после которой ставится скобка. Простые перечисления отделяются запятой, сложные – точкой с запятой.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Cs/>
          <w:i/>
          <w:sz w:val="26"/>
          <w:szCs w:val="26"/>
        </w:rPr>
        <w:t>НЕ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допускается использование </w:t>
      </w:r>
      <w:r>
        <w:rPr>
          <w:rFonts w:cs="Times New Roman" w:ascii="Times New Roman" w:hAnsi="Times New Roman"/>
          <w:bCs/>
          <w:i/>
          <w:sz w:val="26"/>
          <w:szCs w:val="26"/>
        </w:rPr>
        <w:t>данных</w:t>
      </w:r>
      <w:r>
        <w:rPr>
          <w:rFonts w:cs="Times New Roman"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знаков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2205" w:hanging="107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2925" w:hanging="179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При наличии конкретного числа перечислений допускается использовать </w:t>
      </w:r>
      <w:r>
        <w:rPr>
          <w:rFonts w:cs="Times New Roman" w:ascii="Times New Roman" w:hAnsi="Times New Roman"/>
          <w:i/>
          <w:sz w:val="26"/>
          <w:szCs w:val="26"/>
        </w:rPr>
        <w:t xml:space="preserve">арабские цифры </w:t>
      </w:r>
      <w:r>
        <w:rPr>
          <w:rFonts w:cs="Times New Roman" w:ascii="Times New Roman" w:hAnsi="Times New Roman"/>
          <w:sz w:val="26"/>
          <w:szCs w:val="26"/>
        </w:rPr>
        <w:t>со скобками.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Перечисления приводятся с абзацного отступа – 1,25 пт., без отступов слева и выступов справа.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А.2 Оформление иллюстраций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 иллюстрациям относятся: чертежи, графики, схемы, диаграммы, фотоснимки.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Cs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Иллюстрации следует располагать </w:t>
      </w:r>
      <w:r>
        <w:rPr>
          <w:rFonts w:eastAsia="Calibri" w:cs="Times New Roman" w:ascii="Times New Roman" w:hAnsi="Times New Roman"/>
          <w:bCs/>
          <w:i/>
          <w:sz w:val="26"/>
          <w:szCs w:val="26"/>
          <w:lang w:eastAsia="ru-RU"/>
        </w:rPr>
        <w:t>непосредственно после текста</w:t>
      </w: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>, где они упоминаются впервые, или на следующей странице (по возможности ближе к соответствующим частям текста).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На все иллюстрации в тексте документа должны быть даны ссылки. При ссылке необходимо писать слово «рисунок» и его номер, например: «в соответствии с рисунком 2». </w:t>
      </w:r>
      <w:r>
        <w:rPr>
          <w:rFonts w:eastAsia="Calibri" w:cs="Times New Roman" w:ascii="Times New Roman" w:hAnsi="Times New Roman"/>
          <w:bCs/>
          <w:i/>
          <w:sz w:val="26"/>
          <w:szCs w:val="26"/>
          <w:lang w:eastAsia="ru-RU"/>
        </w:rPr>
        <w:t>Не допускается</w:t>
      </w:r>
      <w:r>
        <w:rPr>
          <w:rFonts w:eastAsia="Calibri" w:cs="Times New Roman" w:ascii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6"/>
          <w:szCs w:val="26"/>
          <w:lang w:eastAsia="ru-RU"/>
        </w:rPr>
        <w:t xml:space="preserve">сокращение типа </w:t>
      </w:r>
      <w:r>
        <w:rPr>
          <w:rFonts w:eastAsia="Calibri" w:cs="Times New Roman" w:ascii="Times New Roman" w:hAnsi="Times New Roman"/>
          <w:i/>
          <w:sz w:val="26"/>
          <w:szCs w:val="26"/>
          <w:lang w:eastAsia="ru-RU"/>
        </w:rPr>
        <w:t>Рис.5.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Иллюстрации, за исключением иллюстраций, приведенных в приложениях, следует нумеровать арабскими цифрами сквозной нумерацией: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Допускается нумеровать иллюстрации в пределах раздела документа. В этом случае номер иллюстрации состоит из номера раздела и порядкового номера иллюстрации, разделенных точкой: Рисунок 1.1.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Если рисунок в документе всего один, то он обозначатся: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Иллюстрации должны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Пример оформления названия рисунка: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/>
        <w:drawing>
          <wp:inline distT="0" distB="0" distL="0" distR="0">
            <wp:extent cx="5222240" cy="212598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Рисунок 1.1 – </w:t>
      </w:r>
      <w:sdt>
        <w:sdtPr>
          <w:placeholder>
            <w:docPart w:val="106D554541BD4030AD2C488137D38FC8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cs="Times New Roman" w:ascii="Times New Roman" w:hAnsi="Times New Roman"/>
              <w:sz w:val="26"/>
              <w:szCs w:val="26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рисунка не допускается</w:t>
          </w:r>
        </w:sdtContent>
      </w:sdt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А.3 Оформление таблиц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На все таблицы документе должны быть ссылки. При ссылке следует печатать слово «таблица» с указанием ее номера</w:t>
      </w:r>
      <w:r>
        <w:rPr>
          <w:rFonts w:eastAsia="Times New Roman" w:cs="Times New Roman" w:ascii="Times New Roman" w:hAnsi="Times New Roman"/>
          <w:b/>
          <w:i/>
          <w:sz w:val="26"/>
          <w:szCs w:val="26"/>
          <w:lang w:eastAsia="ru-RU"/>
        </w:rPr>
        <w:t xml:space="preserve">. </w:t>
      </w:r>
      <w:r>
        <w:rPr>
          <w:rFonts w:cs="Times New Roman" w:ascii="Times New Roman" w:hAnsi="Times New Roman"/>
          <w:bCs/>
          <w:i/>
          <w:sz w:val="26"/>
          <w:szCs w:val="26"/>
        </w:rPr>
        <w:t xml:space="preserve">Не допускается </w:t>
      </w:r>
      <w:r>
        <w:rPr>
          <w:rFonts w:cs="Times New Roman" w:ascii="Times New Roman" w:hAnsi="Times New Roman"/>
          <w:i/>
          <w:sz w:val="26"/>
          <w:szCs w:val="26"/>
        </w:rPr>
        <w:t>сокращение – Табл</w:t>
      </w:r>
      <w:r>
        <w:rPr>
          <w:rFonts w:cs="Times New Roman" w:ascii="Times New Roman" w:hAnsi="Times New Roman"/>
          <w:sz w:val="26"/>
          <w:szCs w:val="26"/>
        </w:rPr>
        <w:t>.5.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Допускается применять размер шрифта в таблице меньший, чем в основном тексте документа.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Допускается нумеровать таблицы в пределах раздела при большом объеме документа. В этом случае номер таблицы состоит из номера раздела и порядкового номера таблицы, разделенных точкой: Таблица 2.3.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Наименование таблицы следует помещать над таблицей слева без абзацного отступа в одну строку с ее номером через тире, например,</w:t>
      </w:r>
      <w:r>
        <w:rPr>
          <w:rFonts w:cs="Times New Roman" w:ascii="Times New Roman" w:hAnsi="Times New Roman"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Таблица 1 – Наименование.</w:t>
      </w:r>
      <w:r>
        <w:rPr>
          <w:rFonts w:cs="Times New Roman" w:ascii="Times New Roman" w:hAnsi="Times New Roman"/>
          <w:sz w:val="26"/>
          <w:szCs w:val="26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>
        <w:rPr>
          <w:rFonts w:cs="Times New Roman" w:ascii="Times New Roman" w:hAnsi="Times New Roman"/>
          <w:i/>
          <w:sz w:val="26"/>
          <w:szCs w:val="26"/>
        </w:rPr>
        <w:t>один межстрочный интервал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Если таблица занимает больше двух страниц, то при переносе части таблицы на другую страницу пишут слова «Продолжение таблицы 1», пример оформления названия таблицы: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Таблица 1.1 – </w:t>
      </w:r>
      <w:sdt>
        <w:sdtPr>
          <w:placeholder>
            <w:docPart w:val="A788319EAD68421F90677DADC4975FC7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cs="Times New Roman" w:ascii="Times New Roman" w:hAnsi="Times New Roman"/>
              <w:sz w:val="26"/>
              <w:szCs w:val="26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Продолжение таблицы 1.1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А.4 Оформление формул и уравнений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не менее одной свободной строки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(–), умножения (×), деления (:) или других математических знаков. На новой строке знак повторяется.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Формулы следует располагать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посередине строки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и обозначать порядковой нумерацией в пределах всего документа арабскими цифрами в круглых скобках в крайнем правом положении на строке. Одну формулу обозначают (1).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Ссылки на порядковые номера формул приводятся в скобках в формуле (1). 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Пример: 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Для рядов данных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x, y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коэффициенты линейных зависимостей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a, b (y </w:t>
      </w:r>
      <w:r>
        <w:rPr>
          <w:rFonts w:eastAsia="Times New Roman" w:cs="Times New Roman" w:ascii="Times New Roman" w:hAnsi="Times New Roman"/>
          <w:iCs/>
          <w:sz w:val="26"/>
          <w:szCs w:val="26"/>
          <w:lang w:eastAsia="ru-RU"/>
        </w:rPr>
        <w:t>=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 a </w:t>
      </w:r>
      <w:r>
        <w:rPr>
          <w:rFonts w:eastAsia="Times New Roman" w:cs="Times New Roman" w:ascii="Times New Roman" w:hAnsi="Times New Roman"/>
          <w:iCs/>
          <w:sz w:val="26"/>
          <w:szCs w:val="26"/>
          <w:lang w:eastAsia="ru-RU"/>
        </w:rPr>
        <w:t>+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 bx)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рассчитываются, как решение системы уравнений (3.1):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2"/>
        <w:gridCol w:w="938"/>
      </w:tblGrid>
      <w:tr>
        <w:trPr/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  <m:e>
                        <m:sSup>
                          <m:e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m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xy</m:t>
                            </m:r>
                          </m:e>
                        </m:bar>
                      </m:e>
                    </m:mr>
                  </m:m>
                </m:e>
              </m:d>
            </m:oMath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  <w:t>,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  <w:t>(3.1)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x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средние или максимальные значения температуры процессоров;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y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температуры на выходе бака;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– среднее арифметическое значение элементов ряда.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А.5 Оформление списка использованных источников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Список должен содержать сведения об источниках, использованных при составлении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. Сведения об источниках приводятся в соответствии с требованиями ГОСТ 7.1, </w:t>
      </w:r>
      <w:hyperlink r:id="rId3">
        <w:r>
          <w:rPr>
            <w:rStyle w:val="InternetLink"/>
            <w:rFonts w:cs="Times New Roman" w:ascii="Times New Roman" w:hAnsi="Times New Roman"/>
            <w:color w:val="auto"/>
            <w:sz w:val="26"/>
            <w:szCs w:val="26"/>
            <w:u w:val="none"/>
          </w:rPr>
          <w:t>ГОСТ 7.80</w:t>
        </w:r>
      </w:hyperlink>
      <w:r>
        <w:rPr>
          <w:rFonts w:cs="Times New Roman" w:ascii="Times New Roman" w:hAnsi="Times New Roman"/>
          <w:sz w:val="26"/>
          <w:szCs w:val="26"/>
        </w:rPr>
        <w:t xml:space="preserve">, </w:t>
      </w:r>
      <w:hyperlink r:id="rId4">
        <w:r>
          <w:rPr>
            <w:rStyle w:val="InternetLink"/>
            <w:rFonts w:cs="Times New Roman" w:ascii="Times New Roman" w:hAnsi="Times New Roman"/>
            <w:color w:val="auto"/>
            <w:sz w:val="26"/>
            <w:szCs w:val="26"/>
            <w:u w:val="none"/>
          </w:rPr>
          <w:t>ГОСТ 7.82</w:t>
        </w:r>
      </w:hyperlink>
      <w:r>
        <w:rPr>
          <w:rStyle w:val="InternetLink"/>
          <w:rFonts w:cs="Times New Roman" w:ascii="Times New Roman" w:hAnsi="Times New Roman"/>
          <w:color w:val="auto"/>
          <w:sz w:val="26"/>
          <w:szCs w:val="26"/>
          <w:u w:val="none"/>
        </w:rPr>
        <w:t xml:space="preserve"> (пример приведен в Приложении Б)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Сведения об источниках следует располагать в порядке появления ссылок на источники в тексте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документа </w:t>
      </w:r>
      <w:r>
        <w:rPr>
          <w:rFonts w:cs="Times New Roman" w:ascii="Times New Roman" w:hAnsi="Times New Roman"/>
          <w:sz w:val="26"/>
          <w:szCs w:val="26"/>
        </w:rPr>
        <w:t>и нумеровать арабскими цифрами с точкой и печатать с абзацного отступа.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Список использованных источников должен включать библиографические записи на документы, использованные при составлении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, ссылки на которые оформляют арабскими цифрами в квадратных скобках [1], [3]–[10] в тексте документа. На каждый источник в тексте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 должна быть такая ссылка.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ind w:hanging="0"/>
        <w:jc w:val="center"/>
        <w:rPr>
          <w:sz w:val="26"/>
          <w:szCs w:val="26"/>
        </w:rPr>
      </w:pPr>
      <w:bookmarkStart w:id="15" w:name="_Toc153218544"/>
      <w:r>
        <w:rPr>
          <w:sz w:val="26"/>
          <w:szCs w:val="26"/>
        </w:rPr>
        <w:t>ПРИЛОЖЕНИЕ Б.</w:t>
      </w:r>
      <w:bookmarkStart w:id="16" w:name="Источники"/>
      <w:r>
        <w:rPr>
          <w:sz w:val="26"/>
          <w:szCs w:val="26"/>
        </w:rPr>
        <w:br/>
        <w:t>Пример списка использованных источников</w:t>
      </w:r>
      <w:bookmarkEnd w:id="15"/>
      <w:bookmarkEnd w:id="16"/>
    </w:p>
    <w:p>
      <w:pPr>
        <w:pStyle w:val="Footnote"/>
        <w:spacing w:lineRule="auto" w: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1. </w:t>
      </w:r>
      <w:sdt>
        <w:sdtPr>
          <w:placeholder>
            <w:docPart w:val="FB9A054AEA284DDD980413F1778E44C4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DeRidder J.L.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501C6DECA516400EA63D1D3D91EBCEEE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The immediate prospects for the application of ontologies in digital libraries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F69E90A52FDB4794A8275E7B7862D0DE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Knowledge Organization</w:t>
          </w:r>
        </w:sdtContent>
      </w:sdt>
      <w:r>
        <w:rPr>
          <w:sz w:val="26"/>
          <w:szCs w:val="26"/>
          <w:lang w:val="en-US"/>
        </w:rPr>
        <w:t xml:space="preserve"> – </w:t>
      </w:r>
      <w:sdt>
        <w:sdtPr>
          <w:placeholder>
            <w:docPart w:val="B444E037FBAB4412A6E690247497C094"/>
          </w:placeholder>
        </w:sdtPr>
        <w:sdtContent>
          <w:r>
            <w:rPr>
              <w:sz w:val="26"/>
              <w:szCs w:val="26"/>
              <w:lang w:val="en-US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2007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</w:t>
      </w:r>
      <w:sdt>
        <w:sdtPr>
          <w:placeholder>
            <w:docPart w:val="9E5CC3BFD84C4EE38920758458865FE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Vol. 34, No. 4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</w:t>
      </w:r>
      <w:sdt>
        <w:sdtPr>
          <w:placeholder>
            <w:docPart w:val="335A553725A74BE4AB65D52D9F4D59E3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P. 227 – 246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2. </w:t>
      </w:r>
      <w:sdt>
        <w:sdtPr>
          <w:placeholder>
            <w:docPart w:val="EDEF4A40F817406D8CBBE2055D1F508B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>
          <w:placeholder>
            <w:docPart w:val="F82611ACF56C405EA24DDB8D03025C9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http://government.ru/media/files/41d4b737638891da2184/pdf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placeholder>
            <w:docPart w:val="84A8EE8D47C64A0FABC967FF589C2B8C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3. </w:t>
      </w:r>
      <w:sdt>
        <w:sdtPr>
          <w:placeholder>
            <w:docPart w:val="80C669C3C08746AC89A4A919BE19DE6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U.S. National Library of Medicine. Fact sheet: UMLS Metathesaurus/National Institutes of Health, 2006 – 2013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– URL: </w:t>
      </w:r>
      <w:sdt>
        <w:sdtPr>
          <w:placeholder>
            <w:docPart w:val="1CDD1AF7891246199582644BF802BCF0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http://www.nlm.nih.gov/pubs/factsheets/umlsmeta.html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D61EA9E6F10A4E66AF979E2A3C14054B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2014-12-09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4. </w:t>
      </w:r>
      <w:sdt>
        <w:sdtPr>
          <w:placeholder>
            <w:docPart w:val="39DFC77BADD54F20B5984365B63D10B3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U.S. National Library of Medicine. Fact sheet: Unfied Medical Language System/National Institutes of Health, 2006 – 2013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– URL: </w:t>
      </w:r>
      <w:sdt>
        <w:sdtPr>
          <w:placeholder>
            <w:docPart w:val="12F9CB3C8F0242468FEF2DF12B6244DC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http://www.nlm.nih.gov/pubs/factsheets/umls.html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DAA6F35A8EC5430CA42B4B733E272D6F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2009-12-09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5. </w:t>
      </w:r>
      <w:sdt>
        <w:sdtPr>
          <w:placeholder>
            <w:docPart w:val="49BFA048C6324203BE22112C3FE1A6A2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Антопольский А.Б., Белоозеров В.Н.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F326009A2A9A49B5916CB19448D39A82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7625ECCE6CD94747A3493F8A20E1FE11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Классификация и кодирование</w:t>
          </w:r>
        </w:sdtContent>
      </w:sdt>
      <w:r>
        <w:rPr>
          <w:sz w:val="26"/>
          <w:szCs w:val="26"/>
        </w:rPr>
        <w:t xml:space="preserve"> – </w:t>
      </w:r>
      <w:sdt>
        <w:sdtPr>
          <w:placeholder>
            <w:docPart w:val="1485FD85D5644A7D9FC90A4BA8A5B124"/>
          </w:placeholder>
        </w:sdtPr>
        <w:sdtContent>
          <w:r>
            <w:rPr>
              <w:sz w:val="26"/>
              <w:szCs w:val="26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1976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10498A7401BF4CBE8E20F4AE74E8140B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N 1 (57)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sdt>
        <w:sdtPr>
          <w:placeholder>
            <w:docPart w:val="FFBD2E4BDE5B4ADD8FD3AE63D89EDBB2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С. 25 – 29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6. </w:t>
      </w:r>
      <w:sdt>
        <w:sdtPr>
          <w:placeholder>
            <w:docPart w:val="ABD5F377D73A45D1A596BC75676D1BEE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Белоозеров В.Н., Федосимов В.И.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D27090F4BB7E492599F9517D45316FF6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C6A70FCD95104BDA9195B315CBC7601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Проблемы информационных систем</w:t>
          </w:r>
        </w:sdtContent>
      </w:sdt>
      <w:r>
        <w:rPr>
          <w:sz w:val="26"/>
          <w:szCs w:val="26"/>
        </w:rPr>
        <w:t xml:space="preserve"> – </w:t>
      </w:r>
      <w:sdt>
        <w:sdtPr>
          <w:placeholder>
            <w:docPart w:val="9BE0C82D91C3451582FBAE7121940490"/>
          </w:placeholder>
        </w:sdtPr>
        <w:sdtContent>
          <w:r>
            <w:rPr>
              <w:sz w:val="26"/>
              <w:szCs w:val="26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1986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10AE92E658FA4090A913148955FF9A00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N 1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sdt>
        <w:sdtPr>
          <w:placeholder>
            <w:docPart w:val="865C3B4DA716400CA41FC13AA32039EE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С. 6 – 10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7. </w:t>
      </w:r>
      <w:sdt>
        <w:sdtPr>
          <w:placeholder>
            <w:docPart w:val="5FD79922603B4C1FA2B120EB016C03A9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Гуреев В.Н., Мазов Н.А.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4F52277409C64868B29330F2F7079ACB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4021FA057D3A463AB4101EFADE841E4D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Научно-техническая информация. Сер. 1.</w:t>
          </w:r>
        </w:sdtContent>
      </w:sdt>
      <w:r>
        <w:rPr>
          <w:sz w:val="26"/>
          <w:szCs w:val="26"/>
        </w:rPr>
        <w:t xml:space="preserve"> – </w:t>
      </w:r>
      <w:sdt>
        <w:sdtPr>
          <w:placeholder>
            <w:docPart w:val="B56B693027874B21B1DD2A45404E9691"/>
          </w:placeholder>
        </w:sdtPr>
        <w:sdtContent>
          <w:r>
            <w:rPr>
              <w:sz w:val="26"/>
              <w:szCs w:val="26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2015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254D4C87414C49ABABC8F3C86BA1226B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N 2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sdt>
        <w:sdtPr>
          <w:placeholder>
            <w:docPart w:val="DDCC0299810A42CE9AE0DBC0B9A2430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С. 8 – 19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8. </w:t>
      </w:r>
      <w:sdt>
        <w:sdtPr>
          <w:placeholder>
            <w:docPart w:val="5856368B234F41128BC583CD89B197C8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Земсков А.И., Шрайберг Я.Л.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3F28D767F5B44A9DB3E56D2D9918905C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Электронные библиотеки: учебник для вузов.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sdt>
        <w:sdtPr>
          <w:placeholder>
            <w:docPart w:val="BEB7D59E85EB45528D8457E8EA3D3AA2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М: Либерея, 2003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E39F0DCE9A7349EB80FB53EA5ECF8479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351 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9. </w:t>
      </w:r>
      <w:sdt>
        <w:sdtPr>
          <w:placeholder>
            <w:docPart w:val="351915CCCAF242AB9E6C8C2C3E7A6DFB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Костюк К.Н.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30FD224EBAD849A5B153DFEFAC3692E4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Книга в новой медицинской среде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B177F612B36D46039DAD18D77598957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М.: Директ-Медиа, 2015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74C053AAFE764931A5ED34F515F64A91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430 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10. </w:t>
      </w:r>
      <w:sdt>
        <w:sdtPr>
          <w:placeholder>
            <w:docPart w:val="26242F42469E4503B4FAE688966B5D8B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>
          <w:placeholder>
            <w:docPart w:val="05D8D7ADF96E4E15BBFC30F4586CEB34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http://bookhamber.ru/stat_2006.htm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placeholder>
            <w:docPart w:val="73577DB34022439A90BC8F695413909D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12.03.2009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11. </w:t>
      </w:r>
      <w:sdt>
        <w:sdtPr>
          <w:placeholder>
            <w:docPart w:val="F86D7AB1913F43C2AF678BBE669FEFD5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Web of Science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– URL: </w:t>
      </w:r>
      <w:sdt>
        <w:sdtPr>
          <w:placeholder>
            <w:docPart w:val="DB0A5120F87444A1BC47CAD93FB5FA37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http://apps.webofknowledge.com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A9DF98720E454DC5B41DE365E7EC816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12. </w:t>
      </w:r>
      <w:sdt>
        <w:sdtPr>
          <w:placeholder>
            <w:docPart w:val="9C51EF7C742345FD8597422EEEB8E652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Леготин Е.Ю.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2179E5E9443143CC8AC32FA2CA05770B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Организация метаданных в хранилище данных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9842A0E4AF4D44E892BE76DA7173436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sdt>
        <w:sdtPr>
          <w:placeholder>
            <w:docPart w:val="ED447DBCC0C1452D8D90353D5543E0D0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Челябинск: Издательский центр ЮУрГУ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,  </w:t>
      </w:r>
      <w:sdt>
        <w:sdtPr>
          <w:placeholder>
            <w:docPart w:val="A2DD18A0F2F946FBA8B419584037D19E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2011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sdt>
        <w:sdtPr>
          <w:placeholder>
            <w:docPart w:val="2E48B5409F1942D6B74196DB9F87BF5D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С.</w:t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128 – 132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13.  </w:t>
      </w:r>
      <w:sdt>
        <w:sdtPr>
          <w:placeholder>
            <w:docPart w:val="1ECDF3287C95469588D66488575C2C5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Статистические показатели российского книгоиздания в 2006 г.: цифры и рейтинги [Электронный ресурс]. – 2006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>
          <w:placeholder>
            <w:docPart w:val="F01E86E7754F4C77A6C1F0256D4CDF53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http://bookhamber.ru/stat_2006.htm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placeholder>
            <w:docPart w:val="212739A32CB74ADA8F81C500D02E6523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12.03.2009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14. </w:t>
      </w:r>
      <w:sdt>
        <w:sdtPr>
          <w:placeholder>
            <w:docPart w:val="A7B3991F438745A89EF6675664647ECB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Приказ Минобразования РФ от 19 декабря 2013 г. N 1367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>
          <w:placeholder>
            <w:docPart w:val="31D31C10C6474F77ACBA0ED69E8EFE0A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http://www. consultant.ru/document/cons_doc_LAW_159671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placeholder>
            <w:docPart w:val="498524C601AF4DD59E3DE3B9BAA25068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04.08.2016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15. </w:t>
      </w:r>
      <w:sdt>
        <w:sdtPr>
          <w:placeholder>
            <w:docPart w:val="97B2AEA0CB1B4C9E809D663461ABCD44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ГОСТ 7.0.96-2016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0DACC86ADB1C44BBAA53567D596BF2EF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формирования.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sdt>
        <w:sdtPr>
          <w:placeholder>
            <w:docPart w:val="21581DECFF334E7CBF494BBDFBA3C7E0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М: Стандартинформ, 2016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54A37587FBD54183BABF67F21F798470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16 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с.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746540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basedOn w:val="DefaultParagraphFont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6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yperlink" Target="consultantplus://offline/ref=1664E79CF97BFD0858C3BB176F68BD1AE7E0C40EC8784F205FE14ABC80BBR0M" TargetMode="External"/><Relationship Id="rId4" Type="http://schemas.openxmlformats.org/officeDocument/2006/relationships/hyperlink" Target="consultantplus://offline/ref=1664E79CF97BFD0858C3AD1B6D68BD1AEAEBC600CA2A18220EB444BBR9M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c0504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rgbClr val="9bbb59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100"/>
        <c:axId val="84712823"/>
        <c:axId val="24484783"/>
      </c:barChart>
      <c:catAx>
        <c:axId val="8471282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4484783"/>
        <c:crosses val="autoZero"/>
        <c:auto val="1"/>
        <c:lblAlgn val="ctr"/>
        <c:lblOffset val="100"/>
        <c:noMultiLvlLbl val="0"/>
      </c:catAx>
      <c:valAx>
        <c:axId val="24484783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4712823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LibreOffice/7.4.7.2$Linux_X86_64 LibreOffice_project/40$Build-2</Application>
  <AppVersion>15.0000</AppVersion>
  <Pages>21</Pages>
  <Words>1855</Words>
  <Characters>12195</Characters>
  <CharactersWithSpaces>13985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>Евсютин Олег Олегович</cp:lastModifiedBy>
  <dcterms:modified xsi:type="dcterms:W3CDTF">2024-11-26T13:51:00Z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