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Имя Отчество автора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mallCaps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НАЗВАНИЕ ТЕМЫ ВКР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 – магистерская диссертация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 10.04.01 «Информационная безопасность»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студента образовательной программы магистратуры</w:t>
        <w:br/>
        <w:t>«Наименование образовательной программы»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7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4928"/>
      </w:tblGrid>
      <w:tr>
        <w:trPr>
          <w:trHeight w:val="2931" w:hRule="atLeast"/>
        </w:trPr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92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уч. степень, уч. звание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И.О. Фамилия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Москва 2025</w:t>
      </w:r>
    </w:p>
    <w:p>
      <w:pPr>
        <w:pStyle w:val="TextBody"/>
        <w:ind w:lef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ПРАВИТЕЛЬСТВО РОССИЙСКОЙ ФЕДЕРАЦИИ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/>
          <w:smallCaps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ФЕДЕРАЛЬНОЕ ГОСУДАРСТВЕННОЕ АВТОНОМНОЕ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ОБРАЗОВАТЕЛЬНОЕ УЧРЕЖДЕНИЕ ВЫСШЕГО ОБРАЗОВАНИЯ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bookmarkStart w:id="0" w:name="_Hlk153217068"/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  <w:t>«ВЫСШАЯ ШКОЛА ЭКОНОМИКИ»</w:t>
      </w:r>
      <w:bookmarkEnd w:id="0"/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mallCaps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Московский институт электроники и математики им. А.Н. Тихонова</w:t>
      </w:r>
    </w:p>
    <w:p>
      <w:pPr>
        <w:pStyle w:val="Normal"/>
        <w:spacing w:lineRule="auto" w:line="240" w:before="0" w:after="0"/>
        <w:ind w:right="2160" w:hanging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ЗАДАНИЕ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  <w:t>на выполнение выпускной квалификационной работы</w:t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студенту группы _____ Фамилия Имя Отчество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Тема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Тема ВКР приводится в соответствии с приказом об утверждении тем ВКР.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Требования к работе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2.1. Цель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
      </w: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2.2. Требования к результатам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результаты, которые должны быть получены в рамках ВКР, и уточняются их технические характеристики.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2.3. Требования к документации</w:t>
      </w:r>
    </w:p>
    <w:p>
      <w:pPr>
        <w:pStyle w:val="Normal"/>
        <w:spacing w:lineRule="auto" w:line="240" w:before="0" w:after="0"/>
        <w:ind w:right="51" w:hanging="0"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Текст ВКР должен быть оформлен в соответствии с ГОСТ.</w:t>
      </w:r>
    </w:p>
    <w:p>
      <w:pPr>
        <w:pStyle w:val="Normal"/>
        <w:spacing w:lineRule="auto" w:line="240" w:before="0" w:after="0"/>
        <w:ind w:left="360"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51" w:hanging="36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Содержание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i/>
          <w:i/>
          <w:iCs/>
          <w:lang w:eastAsia="en-GB"/>
        </w:rPr>
      </w:pPr>
      <w:r>
        <w:rPr>
          <w:rFonts w:eastAsia="Times New Roman" w:cs="Times New Roman" w:ascii="Times New Roman" w:hAnsi="Times New Roman"/>
          <w:i/>
          <w:iCs/>
          <w:lang w:eastAsia="en-GB"/>
        </w:rPr>
        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3.1. Обзор научно-технической литературы по теме работы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3.2. …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3._. Подготовка пояснительной записки к ВКР</w:t>
      </w:r>
    </w:p>
    <w:p>
      <w:pPr>
        <w:pStyle w:val="Normal"/>
        <w:spacing w:lineRule="auto" w:line="240" w:before="0" w:after="0"/>
        <w:ind w:right="51" w:hanging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  <w:t>Сроки выполнения этапов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65"/>
        <w:gridCol w:w="2705"/>
      </w:tblGrid>
      <w:tr>
        <w:trPr>
          <w:trHeight w:val="622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Проект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«16» февраля 2025 г.</w:t>
            </w:r>
          </w:p>
        </w:tc>
      </w:tr>
      <w:tr>
        <w:trPr>
          <w:trHeight w:val="699" w:hRule="atLeast"/>
        </w:trPr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Первый вариант ВКР представляется студентом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«31» марта 2025 г.</w:t>
            </w:r>
          </w:p>
        </w:tc>
      </w:tr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Итоговый вариант ВКР представляется студентом руководителю до загрузки работы в систему «Антиплагиат» в срок до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6"/>
                <w:szCs w:val="26"/>
                <w:lang w:val="ru-RU" w:eastAsia="en-GB" w:bidi="ar-SA"/>
              </w:rPr>
              <w:t>«30» апреля 2025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tbl>
      <w:tblPr>
        <w:tblW w:w="967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69"/>
        <w:gridCol w:w="2692"/>
        <w:gridCol w:w="4112"/>
      </w:tblGrid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выдано</w:t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руководителя</w:t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269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  <w:tc>
          <w:tcPr>
            <w:tcW w:w="411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</w:r>
          </w:p>
        </w:tc>
      </w:tr>
      <w:tr>
        <w:trPr>
          <w:trHeight w:val="833" w:hRule="atLeast"/>
        </w:trPr>
        <w:tc>
          <w:tcPr>
            <w:tcW w:w="2869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Задание принято к исполнению</w:t>
            </w:r>
          </w:p>
        </w:tc>
        <w:tc>
          <w:tcPr>
            <w:tcW w:w="2692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«20» декабря 2024 г.</w:t>
            </w:r>
          </w:p>
        </w:tc>
        <w:tc>
          <w:tcPr>
            <w:tcW w:w="41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eastAsia="en-GB"/>
              </w:rPr>
              <w:t>____________ И.О. Фамилия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2018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en-GB"/>
              </w:rPr>
              <w:t>подпись студента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GB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Abstract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/>
          <w:sz w:val="26"/>
          <w:szCs w:val="26"/>
          <w:lang w:eastAsia="ru-RU"/>
        </w:rPr>
      </w:pPr>
      <w:r>
        <w:rPr>
          <w:rFonts w:eastAsia="Calibri" w:cs="Times New Roman" w:ascii="Times New Roman" w:hAnsi="Times New Roman"/>
          <w:sz w:val="26"/>
          <w:szCs w:val="26"/>
          <w:lang w:eastAsia="ru-RU"/>
        </w:rPr>
        <w:t>Перевод аннотации на английский язык.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438_1511805350">
            <w:r>
              <w:rPr>
                <w:webHidden/>
                <w:rStyle w:val="IndexLink"/>
                <w:vanish w:val="false"/>
              </w:rPr>
              <w:t>1 Введение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40_1511805350">
            <w:r>
              <w:rPr>
                <w:webHidden/>
                <w:rStyle w:val="IndexLink"/>
                <w:vanish w:val="false"/>
              </w:rPr>
              <w:t>2 Обзор литературы</w:t>
              <w:tab/>
              <w:t>8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2_1511805350">
            <w:r>
              <w:rPr>
                <w:webHidden/>
                <w:rStyle w:val="IndexLink"/>
                <w:vanish w:val="false"/>
              </w:rPr>
              <w:t>2.1 SCA для Java-проектов с использованием Spring Boot</w:t>
              <w:tab/>
              <w:t>8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4_1511805350">
            <w:r>
              <w:rPr>
                <w:webHidden/>
                <w:rStyle w:val="IndexLink"/>
                <w:vanish w:val="false"/>
              </w:rPr>
              <w:t xml:space="preserve">2.1.1 </w:t>
            </w:r>
            <w:r>
              <w:rPr>
                <w:rStyle w:val="IndexLink"/>
                <w:i w:val="false"/>
              </w:rPr>
              <w:t>Обзор иностранных опенсорсных SCA-инструментов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46_1511805350">
            <w:r>
              <w:rPr>
                <w:webHidden/>
                <w:rStyle w:val="IndexLink"/>
                <w:vanish w:val="false"/>
              </w:rPr>
              <w:t xml:space="preserve">2.1.2 </w:t>
            </w:r>
            <w:r>
              <w:rPr>
                <w:rStyle w:val="IndexLink"/>
                <w:i w:val="false"/>
              </w:rPr>
              <w:t>Обзор отечественных SCA-инструментов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tabs>
              <w:tab w:val="clear" w:pos="709"/>
              <w:tab w:val="right" w:pos="9355" w:leader="dot"/>
            </w:tabs>
            <w:rPr/>
          </w:pPr>
          <w:hyperlink w:anchor="__RefHeading___Toc3448_1511805350">
            <w:r>
              <w:rPr>
                <w:webHidden/>
                <w:rStyle w:val="IndexLink"/>
                <w:vanish w:val="false"/>
              </w:rPr>
              <w:t>2.2 Название подраздела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0_1511805350">
            <w:r>
              <w:rPr>
                <w:webHidden/>
                <w:rStyle w:val="IndexLink"/>
                <w:vanish w:val="false"/>
              </w:rPr>
              <w:t>2.2.1 Название пункта</w:t>
              <w:tab/>
              <w:t>13</w:t>
            </w:r>
          </w:hyperlink>
        </w:p>
        <w:p>
          <w:pPr>
            <w:pStyle w:val="Contents3"/>
            <w:tabs>
              <w:tab w:val="clear" w:pos="709"/>
              <w:tab w:val="right" w:pos="9355" w:leader="dot"/>
            </w:tabs>
            <w:rPr/>
          </w:pPr>
          <w:hyperlink w:anchor="__RefHeading___Toc3452_1511805350">
            <w:r>
              <w:rPr>
                <w:webHidden/>
                <w:rStyle w:val="IndexLink"/>
                <w:vanish w:val="false"/>
              </w:rPr>
              <w:t>2.2.2 Название пункта</w:t>
              <w:tab/>
              <w:t>13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4_1511805350">
            <w:r>
              <w:rPr>
                <w:webHidden/>
                <w:rStyle w:val="IndexLink"/>
                <w:vanish w:val="false"/>
              </w:rPr>
              <w:t>3 Заключение</w:t>
              <w:tab/>
              <w:t>14</w:t>
            </w:r>
          </w:hyperlink>
        </w:p>
        <w:p>
          <w:pPr>
            <w:pStyle w:val="Contents1"/>
            <w:tabs>
              <w:tab w:val="clear" w:pos="709"/>
              <w:tab w:val="right" w:pos="9355" w:leader="dot"/>
            </w:tabs>
            <w:rPr/>
          </w:pPr>
          <w:hyperlink w:anchor="__RefHeading___Toc3456_1511805350">
            <w:r>
              <w:rPr>
                <w:webHidden/>
                <w:rStyle w:val="IndexLink"/>
                <w:vanish w:val="false"/>
              </w:rPr>
              <w:t>4 Список использованных источников</w:t>
              <w:tab/>
              <w:t>15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26"/>
          <w:szCs w:val="26"/>
          <w:lang w:val="ru-RU" w:eastAsia="en-US" w:bidi="ar-SA"/>
        </w:rPr>
      </w:r>
      <w:r>
        <w:br w:type="page"/>
      </w:r>
    </w:p>
    <w:p>
      <w:pPr>
        <w:pStyle w:val="Heading1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bookmarkStart w:id="1" w:name="__RefHeading___Toc3438_1511805350"/>
      <w:bookmarkStart w:id="2" w:name="_Toc153218533"/>
      <w:bookmarkEnd w:id="1"/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1 Введение</w:t>
      </w:r>
      <w:bookmarkEnd w:id="2"/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
      </w:r>
    </w:p>
    <w:p>
      <w:pPr>
        <w:pStyle w:val="TextBody"/>
        <w:spacing w:lineRule="auto" w:line="360" w:before="0" w:after="0"/>
        <w:ind w:left="510" w:right="51" w:hanging="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3" w:name="__RefHeading___Toc3440_1511805350"/>
      <w:bookmarkStart w:id="4" w:name="_Toc153218534"/>
      <w:bookmarkEnd w:id="3"/>
      <w:r>
        <w:rPr>
          <w:sz w:val="26"/>
          <w:szCs w:val="26"/>
        </w:rPr>
        <w:t>2 </w:t>
      </w:r>
      <w:bookmarkEnd w:id="4"/>
      <w:r>
        <w:rPr>
          <w:sz w:val="26"/>
          <w:szCs w:val="26"/>
        </w:rPr>
        <w:t>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должно быть их удобство интеграции в существующие рабочие процессы разработки. Эти инструменты должны быть легко подключяемы к CI/CD конвейерам. </w:t>
      </w:r>
    </w:p>
    <w:p>
      <w:pPr>
        <w:pStyle w:val="Heading2"/>
        <w:rPr>
          <w:sz w:val="26"/>
          <w:szCs w:val="26"/>
        </w:rPr>
      </w:pPr>
      <w:bookmarkStart w:id="5" w:name="__RefHeading___Toc3442_1511805350"/>
      <w:bookmarkStart w:id="6" w:name="_Toc153218535"/>
      <w:bookmarkEnd w:id="5"/>
      <w:r>
        <w:rPr>
          <w:sz w:val="26"/>
          <w:szCs w:val="26"/>
        </w:rPr>
        <w:t>2.1 </w:t>
      </w:r>
      <w:bookmarkEnd w:id="6"/>
      <w:r>
        <w:rPr>
          <w:rStyle w:val="Strong"/>
          <w:b/>
          <w:sz w:val="26"/>
          <w:szCs w:val="26"/>
        </w:rPr>
        <w:t>SCA для Java-проектов с использованием Spring Boot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[1].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[2].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
      </w:r>
    </w:p>
    <w:p>
      <w:pPr>
        <w:pStyle w:val="Heading3"/>
        <w:rPr>
          <w:sz w:val="26"/>
          <w:szCs w:val="26"/>
        </w:rPr>
      </w:pPr>
      <w:bookmarkStart w:id="7" w:name="__RefHeading___Toc3444_1511805350"/>
      <w:bookmarkStart w:id="8" w:name="_Toc153218536"/>
      <w:bookmarkEnd w:id="7"/>
      <w:r>
        <w:rPr>
          <w:sz w:val="26"/>
          <w:szCs w:val="26"/>
        </w:rPr>
        <w:t>2.1.1</w:t>
      </w:r>
      <w:bookmarkEnd w:id="8"/>
      <w:r>
        <w:rPr>
          <w:sz w:val="26"/>
          <w:szCs w:val="26"/>
        </w:rPr>
        <w:t xml:space="preserve"> </w:t>
      </w:r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иностранных опенсорсных SCA-инструментов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6"/>
          <w:szCs w:val="26"/>
          <w:lang w:val="ru-RU" w:eastAsia="en-US" w:bidi="ar-SA"/>
        </w:rPr>
        <w:t xml:space="preserve">OWASP </w:t>
      </w: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dependency check</w:t>
      </w:r>
      <w:r>
        <w:rPr>
          <w:rFonts w:cs="Times New Roman" w:ascii="Times New Roman" w:hAnsi="Times New Roman"/>
          <w:iCs w:val="false"/>
          <w:sz w:val="26"/>
          <w:szCs w:val="26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Использую Gradle, поэтому приведу пример как добавить плагин OWASP Dependency-Check в build.gradle (Рисунок 1), запустить сканирование (Рисунок 2) [4].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Запустить сканирование можно так (смотрите рисунок 2). Посмотреть результаты сканирования можно в папке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90695" cy="238950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840" cy="238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90695" cy="19538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0" r="2394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0695" cy="1953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rFonts w:ascii="Times New Roman" w:hAnsi="Times New Roman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6"/>
                                <w:szCs w:val="26"/>
                              </w:rPr>
                              <w:t xml:space="preserve"> - Инсталляция из центрального репозитория Maven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4.9pt;margin-top:0.05pt;width:337.8pt;height:188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90695" cy="195389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0" r="2394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0695" cy="1953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rFonts w:ascii="Times New Roman" w:hAnsi="Times New Roman"/>
                          <w:color w:val="00000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color w:val="000000"/>
                          <w:sz w:val="26"/>
                          <w:szCs w:val="26"/>
                        </w:rPr>
                        <w:t xml:space="preserve"> - Инсталляция из центрального репозитория Maven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SourceText"/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${buildDir}/reports.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76835</wp:posOffset>
                </wp:positionV>
                <wp:extent cx="4596130" cy="666750"/>
                <wp:effectExtent l="0" t="0" r="0" b="0"/>
                <wp:wrapTopAndBottom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2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>
                                <w:rFonts w:ascii="Times New Roman" w:hAnsi="Times New Roman" w:eastAsia="Calibri" w:cs="" w:cstheme="minorBidi" w:eastAsiaTheme="minorHAnsi"/>
                                <w:i w:val="false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710430" cy="37274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16499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7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 w:cs="" w:ascii="Times New Roman" w:hAnsi="Times New Roman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t>2</w:t>
                            </w:r>
                            <w:r>
                              <w:rPr>
                                <w:sz w:val="26"/>
                                <w:i w:val="false"/>
                                <w:kern w:val="0"/>
                                <w:szCs w:val="26"/>
                                <w:iCs w:val="false"/>
                                <w:rFonts w:eastAsia="Calibri" w:cs="" w:ascii="Times New Roman" w:hAnsi="Times New Roman"/>
                                <w:color w:val="auto"/>
                                <w:lang w:val="ru-RU" w:eastAsia="en-US" w:bidi="ar-SA"/>
                              </w:rPr>
                              <w:fldChar w:fldCharType="end"/>
                            </w: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i w:val="false"/>
                                <w:iCs w:val="false"/>
                                <w:color w:val="auto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 xml:space="preserve"> - Запуск плагина [4]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52.9pt;margin-top:6.05pt;width:361.85pt;height:52.4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rPr>
                          <w:rFonts w:ascii="Times New Roman" w:hAnsi="Times New Roman" w:eastAsia="Calibri" w:cs="" w:cstheme="minorBidi" w:eastAsiaTheme="minorHAnsi"/>
                          <w:i w:val="false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710430" cy="37274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0" r="16499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7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Рисунок </w:t>
                      </w:r>
                      <w:r>
                        <w:rPr>
                          <w:rFonts w:eastAsia="Calibri" w:cs="" w:ascii="Times New Roman" w:hAnsi="Times New Roman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fldChar w:fldCharType="begin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instrText xml:space="preserve"> SEQ Рисунок \* ARABIC </w:instrTex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separate"/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t>2</w:t>
                      </w:r>
                      <w:r>
                        <w:rPr>
                          <w:sz w:val="26"/>
                          <w:i w:val="false"/>
                          <w:kern w:val="0"/>
                          <w:szCs w:val="26"/>
                          <w:iCs w:val="false"/>
                          <w:rFonts w:eastAsia="Calibri" w:cs="" w:ascii="Times New Roman" w:hAnsi="Times New Roman"/>
                          <w:color w:val="auto"/>
                          <w:lang w:val="ru-RU" w:eastAsia="en-US" w:bidi="ar-SA"/>
                        </w:rPr>
                        <w:fldChar w:fldCharType="end"/>
                      </w:r>
                      <w:r>
                        <w:rPr>
                          <w:rFonts w:eastAsia="Calibri" w:cs="" w:ascii="Times New Roman" w:hAnsi="Times New Roman" w:cstheme="minorBidi" w:eastAsiaTheme="minorHAnsi"/>
                          <w:i w:val="false"/>
                          <w:iCs w:val="false"/>
                          <w:color w:val="auto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 xml:space="preserve"> - Запуск плагина [4]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Gradle Plugin - это плагин для системы сборки Gradle, который позволяет интегрировать функциональность Snyk прямо в процесс сборки Java-проекта. Этот плагин позволяет использовать Snyk для сканирования зависимостей проекта и исходного кода на наличие уязвимостей и других проблем безопасности. Он включает в себя функционал </w:t>
      </w:r>
      <w:bookmarkStart w:id="9" w:name="bd-1-snyk-open-source"/>
      <w:bookmarkEnd w:id="9"/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Snyk Open Source и Snyk Code.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Open Source: Сканирует зависимости проекта (библиотеки и пакеты с открытым исходным кодом) на наличие известных уязвимостей. Предлагает решения по устранению найденных уязвимостей (например, обновление до более безопасной версии или применение патча).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Snyk Code: Анализирует исходный код на наличие уязвимостей безопасности и проблем с качеством кода (например, «code smells», ошибки логики и т. д.). Пример конфигурации в build.gradle (на примере сканирования зависимостей, Рисунок 3) [5].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810760" cy="348361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680" cy="348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>
                                <w:rFonts w:ascii="Times New Roman" w:hAnsi="Times New Roman" w:eastAsia="Calibri" w:cs="Times New Roman" w:eastAsiaTheme="minorHAnsi"/>
                                <w:b w:val="false"/>
                                <w:b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10760" cy="311340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776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0760" cy="3113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 w:cs="Times New Roman" w:ascii="Times New Roman" w:hAnsi="Times New Roman" w:eastAsiaTheme="minorHAnsi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color w:val="auto"/>
                                <w:spacing w:val="0"/>
                                <w:kern w:val="0"/>
                                <w:sz w:val="26"/>
                                <w:szCs w:val="26"/>
                                <w:lang w:val="ru-RU" w:eastAsia="en-US" w:bidi="ar-SA"/>
                              </w:rPr>
                              <w:t>Рисунок 3 -Пример конфигурации плагина Snyk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4.45pt;margin-top:0.05pt;width:378.75pt;height:274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spacing w:before="120" w:after="120"/>
                        <w:rPr>
                          <w:rFonts w:ascii="Times New Roman" w:hAnsi="Times New Roman" w:eastAsia="Calibri" w:cs="Times New Roman" w:eastAsiaTheme="minorHAnsi"/>
                          <w:b w:val="false"/>
                          <w:b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10760" cy="311340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0" r="15776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0760" cy="3113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 w:cs="Times New Roman" w:ascii="Times New Roman" w:hAnsi="Times New Roman" w:eastAsiaTheme="minorHAnsi"/>
                          <w:b w:val="false"/>
                          <w:i w:val="false"/>
                          <w:iCs w:val="false"/>
                          <w:caps w:val="false"/>
                          <w:smallCaps w:val="false"/>
                          <w:color w:val="auto"/>
                          <w:spacing w:val="0"/>
                          <w:kern w:val="0"/>
                          <w:sz w:val="26"/>
                          <w:szCs w:val="26"/>
                          <w:lang w:val="ru-RU" w:eastAsia="en-US" w:bidi="ar-SA"/>
                        </w:rPr>
                        <w:t>Рисунок 3 -Пример конфигурации плагина Snyk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Бесплатная версия Snyk предоставляет ограниченное количество ежемесячных сканирований, так как доступ к её возможностям осуществляется через API ключ (настройка apiToken, Рисунок 5), полученный при регистрации. Поэтому постоянный запуск тестов на каждом этапе сборки может привести к быстрому исчерпанию лимита. Рекомендуется настроить запуск сканирования Snyk реже, например, только перед релизом или по расписанию.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i/>
          <w:iCs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Sonatype OSS</w:t>
      </w:r>
      <w:r>
        <w:rPr>
          <w:rFonts w:eastAsia="Calibri" w:cs="Times New Roman" w:ascii="Times New Roman" w:hAnsi="Times New Roman" w:eastAsiaTheme="minorHAnsi"/>
          <w:b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 xml:space="preserve">. </w:t>
      </w:r>
    </w:p>
    <w:p>
      <w:pPr>
        <w:pStyle w:val="Heading3"/>
        <w:rPr>
          <w:sz w:val="26"/>
          <w:szCs w:val="26"/>
        </w:rPr>
      </w:pPr>
      <w:bookmarkStart w:id="10" w:name="__RefHeading___Toc3446_1511805350"/>
      <w:bookmarkStart w:id="11" w:name="_Toc153218537"/>
      <w:bookmarkEnd w:id="10"/>
      <w:r>
        <w:rPr>
          <w:sz w:val="26"/>
          <w:szCs w:val="26"/>
        </w:rPr>
        <w:t xml:space="preserve">2.1.2 </w:t>
      </w:r>
      <w:bookmarkEnd w:id="11"/>
      <w:r>
        <w:rPr>
          <w:rFonts w:eastAsia="" w:cs="Times New Roman" w:eastAsiaTheme="majorEastAsia"/>
          <w:b/>
          <w:bCs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Обзор отечественных SCA-инструментов</w:t>
      </w:r>
    </w:p>
    <w:p>
      <w:pPr>
        <w:pStyle w:val="Heading1"/>
        <w:spacing w:lineRule="auto" w:line="360" w:before="0" w:after="0"/>
        <w:ind w:firstLine="709"/>
        <w:jc w:val="both"/>
        <w:rPr>
          <w:b w:val="false"/>
          <w:b w:val="false"/>
          <w:i/>
          <w:i/>
        </w:rPr>
      </w:pPr>
      <w:bookmarkStart w:id="12" w:name="codescoring-documentation"/>
      <w:bookmarkEnd w:id="12"/>
      <w:r>
        <w:rPr>
          <w:rFonts w:cs="Times New Roman"/>
          <w:b w:val="false"/>
          <w:bCs w:val="false"/>
          <w:i/>
          <w:iCs/>
          <w:sz w:val="26"/>
          <w:szCs w:val="26"/>
        </w:rPr>
        <w:t>CodeScoring</w:t>
      </w:r>
      <w:r>
        <w:rPr>
          <w:rFonts w:cs="Times New Roman"/>
          <w:b w:val="false"/>
          <w:bCs w:val="false"/>
          <w:i w:val="false"/>
          <w:iCs w:val="false"/>
          <w:sz w:val="26"/>
          <w:szCs w:val="26"/>
        </w:rPr>
        <w:t xml:space="preserve">. Платформа композиционного анализа программного обеспечения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spacing w:val="0"/>
          <w:sz w:val="26"/>
          <w:szCs w:val="26"/>
        </w:rPr>
        <w:t xml:space="preserve">для анализа безопасности и качества кода, который помогает разработчикам выявлять уязвимости и недостатки в программном обеспечении. Он предоставляет автоматизированные проверки кода, позволяя командам разработчиков быстро находить и исправлять проблемы до того, как они станут серьезными угрозами. Единственный инструмент отечественный инструмент SCA, который мне удалось найти.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Здесь используется Агент CLI (Command Line Interface). Это инструмент, который работает через командную строку и выполняет определенные задачи, такие как анализ, сканирование или управление проектами.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>
          <w:rFonts w:eastAsia="" w:cs="Times New Roman" w:eastAsiaTheme="majorEastAsia" w:ascii="Times New Roman" w:hAnsi="Times New Roman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Агент CLI Johnny поставляется с локальной версией CodeScoring. Агент представляет собой исполняемый бинарный файл, который анализирует манифесты известных менеджеров пакетов, сканирует образы Docker и ищет прямые включения библиотек с открытым исходным кодом, используя их хеши. Агент может работать как независимо от установки, так и в связке с ней, получая данные о настроенных политиках и сохраняя результаты сканирования в существующие проекты.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" w:cs="Times New Roman" w:ascii="Times New Roman" w:hAnsi="Times New Roman" w:eastAsiaTheme="majorEastAsia"/>
          <w:b w:val="false"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  <w:t>При работе с Java для запуска сканирования с CLI Johnny  необходимо дополнительно создать артефакты (файл в формате txt), которые содержат полную структуру зависимостей проекта. После создания артефактов вам необходимо использовать команду сканирования файла на полученном артефакте (смотрите Рисунок 4).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696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ajorEastAsia"/>
          <w:b w:val="false"/>
          <w:b w:val="false"/>
          <w:bCs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sz w:val="26"/>
          <w:szCs w:val="26"/>
          <w:lang w:val="ru-RU" w:eastAsia="en-US" w:bidi="ar-SA"/>
        </w:rPr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bookmarkStart w:id="13" w:name="__RefHeading___Toc3448_1511805350"/>
      <w:bookmarkStart w:id="14" w:name="_Toc153218538"/>
      <w:bookmarkEnd w:id="13"/>
      <w:r>
        <w:rPr>
          <w:sz w:val="26"/>
          <w:szCs w:val="26"/>
        </w:rPr>
        <w:t>2.2 Название подраздела</w:t>
      </w:r>
      <w:bookmarkEnd w:id="1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5" w:name="__RefHeading___Toc3450_1511805350"/>
      <w:bookmarkStart w:id="16" w:name="_Toc153218539"/>
      <w:bookmarkEnd w:id="15"/>
      <w:r>
        <w:rPr>
          <w:sz w:val="26"/>
          <w:szCs w:val="26"/>
        </w:rPr>
        <w:t>2.2.1 Название пункта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Heading3"/>
        <w:rPr>
          <w:sz w:val="26"/>
          <w:szCs w:val="26"/>
        </w:rPr>
      </w:pPr>
      <w:bookmarkStart w:id="17" w:name="__RefHeading___Toc3452_1511805350"/>
      <w:bookmarkStart w:id="18" w:name="_Toc153218540"/>
      <w:bookmarkEnd w:id="17"/>
      <w:r>
        <w:rPr>
          <w:sz w:val="26"/>
          <w:szCs w:val="26"/>
        </w:rPr>
        <w:t>2.2.2 Название пункта</w:t>
      </w:r>
      <w:bookmarkEnd w:id="1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Текст.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19" w:name="__RefHeading___Toc3454_1511805350"/>
      <w:bookmarkStart w:id="20" w:name="_Toc153218541"/>
      <w:bookmarkEnd w:id="19"/>
      <w:r>
        <w:rPr>
          <w:sz w:val="26"/>
          <w:szCs w:val="26"/>
        </w:rPr>
        <w:t>3 Заключение</w:t>
      </w:r>
      <w:bookmarkEnd w:id="2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Приводится краткое описание результатов ВКР.</w:t>
      </w:r>
    </w:p>
    <w:p>
      <w:pPr>
        <w:pStyle w:val="Normal"/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Heading1"/>
        <w:rPr>
          <w:sz w:val="26"/>
          <w:szCs w:val="26"/>
        </w:rPr>
      </w:pPr>
      <w:bookmarkStart w:id="21" w:name="__RefHeading___Toc3456_1511805350"/>
      <w:bookmarkStart w:id="22" w:name="_Toc153218542"/>
      <w:bookmarkEnd w:id="21"/>
      <w:r>
        <w:rPr>
          <w:sz w:val="26"/>
          <w:szCs w:val="26"/>
        </w:rPr>
        <w:t>4 Список использованных источников</w:t>
      </w:r>
      <w:bookmarkEnd w:id="22"/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ru-RU"/>
        </w:rPr>
        <w:t xml:space="preserve">1. Обзор рынка инструментов SCA (Software Composition Analysis)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URL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 xml:space="preserve">https://www.anti-malware.ru/analytics/Market_Analysis/Software-Composition-Analysis </w:t>
          </w:r>
        </w:sdtContent>
      </w:sdt>
      <w:r>
        <w:rPr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 xml:space="preserve">). 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2.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Handling security vulnerabilities in Spring Boot | Snyk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https://snyk.io/blog/security-vulnerabilities-spring-boot/</w:t>
          </w:r>
        </w:sdtContent>
      </w:sdt>
      <w:r>
        <w:rPr>
          <w:rFonts w:eastAsia="Times New Roman" w:cs="Times New Roman" w:ascii="Times New Roman" w:hAnsi="Times New Roman"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(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дата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6"/>
          <w:szCs w:val="26"/>
          <w:lang w:eastAsia="ru-RU"/>
        </w:rPr>
        <w:t>обращения</w:t>
      </w: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15.01.2025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3. Dealing with Java CVEs: Discovery, Detection, Analysis, and Resolution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 xml:space="preserve">. – URL: https://www.infoq.com/articles/dealing-with-java-cves/ (дата обращения </w:t>
      </w:r>
      <w:sdt>
        <w:sdtPr/>
        <w:sdtContent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</w:r>
          <w:r>
            <w:rPr>
              <w:rFonts w:eastAsia="Times New Roman" w:cs="Times New Roman" w:ascii="Times New Roman" w:hAnsi="Times New Roman"/>
              <w:bCs/>
              <w:sz w:val="26"/>
              <w:szCs w:val="26"/>
              <w:lang w:val="en-US" w:eastAsia="ru-RU"/>
            </w:rPr>
            <w:t>16.01.2025</w:t>
          </w:r>
        </w:sdtContent>
      </w:sdt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).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Cs/>
          <w:sz w:val="26"/>
          <w:szCs w:val="26"/>
          <w:lang w:val="en-US" w:eastAsia="ru-RU"/>
        </w:rPr>
        <w:t>4. OWASP/ Dependency-Check/ documentation/ Usage</w:t>
      </w: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– URL: </w:t>
      </w:r>
      <w:hyperlink r:id="rId9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http://jeremylong.github.io/DependencyCheck/dependency-check-gradle/index.html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16.01.2025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5. Detect Security Vulnerabilities with Snyk – URL: </w:t>
      </w:r>
      <w:hyperlink r:id="rId10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https://www.baeldung.com/java-snyk-security-risks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</w:t>
      </w:r>
      <w:sdt>
        <w:sdtPr/>
        <w:sdtContent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</w:r>
          <w:r>
            <w:rPr>
              <w:rStyle w:val="InternetLink"/>
              <w:rFonts w:eastAsia="Times New Roman" w:cs="Times New Roman" w:ascii="Times New Roman" w:hAnsi="Times New Roman"/>
              <w:bCs/>
              <w:color w:val="000000"/>
              <w:sz w:val="26"/>
              <w:szCs w:val="26"/>
              <w:u w:val="none"/>
              <w:lang w:val="en-US" w:eastAsia="ru-RU"/>
            </w:rPr>
            <w:t>19.01.2025</w:t>
          </w:r>
        </w:sdtContent>
      </w:sdt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)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>6.</w:t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7. Resolving dependencies in the build environment – URL: </w:t>
      </w:r>
      <w:hyperlink r:id="rId11">
        <w:r>
          <w:rPr>
            <w:rStyle w:val="InternetLink"/>
            <w:rFonts w:eastAsia="Times New Roman" w:cs="Times New Roman" w:ascii="Times New Roman" w:hAnsi="Times New Roman"/>
            <w:bCs/>
            <w:color w:val="000000"/>
            <w:sz w:val="26"/>
            <w:szCs w:val="26"/>
            <w:u w:val="none"/>
            <w:lang w:val="en-US" w:eastAsia="ru-RU"/>
          </w:rPr>
          <w:t>https://docs.codescoring.ru/agent/resolve.en/</w:t>
        </w:r>
      </w:hyperlink>
      <w:r>
        <w:rPr>
          <w:rStyle w:val="InternetLink"/>
          <w:rFonts w:eastAsia="Times New Roman" w:cs="Times New Roman" w:ascii="Times New Roman" w:hAnsi="Times New Roman"/>
          <w:bCs/>
          <w:color w:val="000000"/>
          <w:sz w:val="26"/>
          <w:szCs w:val="26"/>
          <w:u w:val="none"/>
          <w:lang w:val="en-US" w:eastAsia="ru-RU"/>
        </w:rPr>
        <w:t xml:space="preserve"> (дата обращения 30.01.2025)</w:t>
      </w:r>
    </w:p>
    <w:sectPr>
      <w:footerReference w:type="defaul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Style20">
    <w:name w:val="Ру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jeremylong.github.io/DependencyCheck/dependency-check-gradle/index.html" TargetMode="External"/><Relationship Id="rId10" Type="http://schemas.openxmlformats.org/officeDocument/2006/relationships/hyperlink" Target="https://www.baeldung.com/java-snyk-security-risks" TargetMode="External"/><Relationship Id="rId11" Type="http://schemas.openxmlformats.org/officeDocument/2006/relationships/hyperlink" Target="https://docs.codescoring.ru/agent/resolve.en/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Application>LibreOffice/7.4.7.2$Linux_X86_64 LibreOffice_project/40$Build-2</Application>
  <AppVersion>15.0000</AppVersion>
  <Pages>15</Pages>
  <Words>1724</Words>
  <Characters>12407</Characters>
  <CharactersWithSpaces>14020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2025-01-31T00:42:09Z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