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ПРАВИТЕЛЬСТВО РОССИЙСКОЙ ФЕДЕРАЦИИ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ФЕДЕРАЛЬНОЕ ГОСУДАРСТВЕННОЕ АВТОНОМНОЕ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ОБРАЗОВАТЕЛЬНОЕ УЧРЕЖДЕНИЕ ВЫСШЕГО ОБРАЗОВАНИЯ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Фамилия Имя Отчество автора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mallCaps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mallCaps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  <w:t>НАЗВАНИЕ ТЕМЫ ВКР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Выпускная квалификационная работа – магистерская диссертация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 10.04.01 «Информационная безопасность»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студента образовательной программы магистратуры</w:t>
        <w:br/>
        <w:t>«Наименование образовательной программы»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tbl>
      <w:tblPr>
        <w:tblW w:w="97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84"/>
        <w:gridCol w:w="4928"/>
      </w:tblGrid>
      <w:tr>
        <w:trPr>
          <w:trHeight w:val="2931" w:hRule="atLeast"/>
        </w:trPr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Рецензент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9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Научный руководитель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Консультант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Москва 2025</w:t>
      </w:r>
    </w:p>
    <w:p>
      <w:pPr>
        <w:pStyle w:val="TextBody"/>
        <w:ind w:lef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ПРАВИТЕЛЬСТВО РОССИЙСКОЙ ФЕДЕРАЦИИ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ФЕДЕРАЛЬНОЕ ГОСУДАРСТВЕННОЕ АВТОНОМНОЕ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ОБРАЗОВАТЕЛЬНОЕ УЧРЕЖДЕНИЕ ВЫСШЕГО ОБРАЗОВАНИЯ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bookmarkStart w:id="0" w:name="_Hlk153217068"/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«ВЫСШАЯ ШКОЛА ЭКОНОМИКИ»</w:t>
      </w:r>
      <w:bookmarkEnd w:id="0"/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240" w:before="0" w:after="0"/>
        <w:ind w:right="2160" w:hanging="0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ЗАДАНИЕ</w:t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на выполнение выпускной квалификационной работы</w:t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студенту группы _____ Фамилия Имя Отчество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Тема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Тема ВКР приводится в соответствии с приказом об утверждении тем ВКР.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Требования к работе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2.1. Цель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Цель работы формулируется в контексте повышения эффективности некоторого научно-технического решения либо в контексте решения конкретной прикладной задачи. Из формулировки цели ВКР должна быть понятна ее актуальность</w:t>
      </w: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2.2. Требования к результатам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Перечисляются основные результаты, которые должны быть получены в рамках ВКР, и уточняются их технические характеристики.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2.3. Требования к документации</w:t>
      </w:r>
    </w:p>
    <w:p>
      <w:pPr>
        <w:pStyle w:val="Normal"/>
        <w:spacing w:lineRule="auto" w:line="240" w:before="0" w:after="0"/>
        <w:ind w:right="51" w:hanging="0"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Текст ВКР должен быть оформлен в соответствии с ГОСТ.</w:t>
      </w:r>
    </w:p>
    <w:p>
      <w:pPr>
        <w:pStyle w:val="Normal"/>
        <w:spacing w:lineRule="auto" w:line="240" w:before="0" w:after="0"/>
        <w:ind w:left="360"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Содержание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Перечисляются основные выполняемые работы, в основном соответствующие структуре ВКР, представленной в пояснительной записке. Обязательные работы приведены в настоящем шаблоне. Все прочие работы определяются студентом совместно с руководителем.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3.1. Обзор научно-технической литературы по теме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3.2. …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3._. Подготовка пояснительной записки к ВКР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Сроки выполнения этапов работы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65"/>
        <w:gridCol w:w="2705"/>
      </w:tblGrid>
      <w:tr>
        <w:trPr>
          <w:trHeight w:val="622" w:hRule="atLeast"/>
        </w:trPr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Проект ВКР представляется студентом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«16» февраля 2025 г.</w:t>
            </w:r>
          </w:p>
        </w:tc>
      </w:tr>
      <w:tr>
        <w:trPr>
          <w:trHeight w:val="699" w:hRule="atLeast"/>
        </w:trPr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Первый вариант ВКР представляется студентом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«31» марта 2025 г.</w:t>
            </w:r>
          </w:p>
        </w:tc>
      </w:tr>
      <w:tr>
        <w:trPr/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Итоговый вариант ВКР представляется студентом руководителю до загрузки работы в систему «Антиплагиат»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«30» апреля 2025 г.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tbl>
      <w:tblPr>
        <w:tblW w:w="9673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869"/>
        <w:gridCol w:w="2692"/>
        <w:gridCol w:w="4112"/>
      </w:tblGrid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Задание выдано</w:t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«20» декабря 2024 г.</w:t>
            </w:r>
          </w:p>
        </w:tc>
        <w:tc>
          <w:tcPr>
            <w:tcW w:w="411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____________ И.О.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n-GB"/>
              </w:rPr>
              <w:t>подпись руководителя</w:t>
            </w:r>
          </w:p>
        </w:tc>
      </w:tr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  <w:tc>
          <w:tcPr>
            <w:tcW w:w="411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</w:tr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Задание принято к исполнению</w:t>
            </w:r>
          </w:p>
        </w:tc>
        <w:tc>
          <w:tcPr>
            <w:tcW w:w="2692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«20» декабря 2024 г.</w:t>
            </w:r>
          </w:p>
        </w:tc>
        <w:tc>
          <w:tcPr>
            <w:tcW w:w="41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____________ И.О.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n-GB"/>
              </w:rPr>
              <w:t>подпись студента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Аннотация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В аннотации кратко описывается решаемая в выпускной квалификационной работе (ВКР) задача, обосновывается ее актуальность, описываются использованные методы и приводятся полученные результаты. При описании полученных результатов указываются их отличительные особенности и преимущества. Работа содержит __ страниц, __ рисунков, __ таблиц, __ источников, __ приложений.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en-US"/>
        </w:rPr>
        <w:t>Abstract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Перевод аннотации на английский язык.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24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3438_1511805350">
            <w:r>
              <w:rPr>
                <w:webHidden/>
                <w:rStyle w:val="IndexLink"/>
                <w:vanish w:val="false"/>
              </w:rPr>
              <w:t>1 Введение</w:t>
              <w:tab/>
              <w:t>7</w:t>
            </w:r>
          </w:hyperlink>
        </w:p>
        <w:p>
          <w:pPr>
            <w:pStyle w:val="Contents1"/>
            <w:tabs>
              <w:tab w:val="clear" w:pos="709"/>
              <w:tab w:val="right" w:pos="9245" w:leader="dot"/>
            </w:tabs>
            <w:rPr/>
          </w:pPr>
          <w:hyperlink w:anchor="__RefHeading___Toc3440_1511805350">
            <w:r>
              <w:rPr>
                <w:webHidden/>
                <w:rStyle w:val="IndexLink"/>
                <w:vanish w:val="false"/>
              </w:rPr>
              <w:t>2 Обзор литературы</w:t>
              <w:tab/>
              <w:t>8</w:t>
            </w:r>
          </w:hyperlink>
        </w:p>
        <w:p>
          <w:pPr>
            <w:pStyle w:val="Contents2"/>
            <w:tabs>
              <w:tab w:val="clear" w:pos="709"/>
              <w:tab w:val="right" w:pos="9245" w:leader="dot"/>
            </w:tabs>
            <w:rPr/>
          </w:pPr>
          <w:hyperlink w:anchor="__RefHeading___Toc3442_1511805350">
            <w:r>
              <w:rPr>
                <w:webHidden/>
                <w:rStyle w:val="IndexLink"/>
                <w:vanish w:val="false"/>
              </w:rPr>
              <w:t>2.1 SCA для Java-проектов с использованием Spring Boot</w:t>
              <w:tab/>
              <w:t>8</w:t>
            </w:r>
          </w:hyperlink>
        </w:p>
        <w:p>
          <w:pPr>
            <w:pStyle w:val="Contents3"/>
            <w:tabs>
              <w:tab w:val="clear" w:pos="709"/>
              <w:tab w:val="right" w:pos="9245" w:leader="dot"/>
            </w:tabs>
            <w:rPr/>
          </w:pPr>
          <w:hyperlink w:anchor="__RefHeading___Toc3444_1511805350">
            <w:r>
              <w:rPr>
                <w:webHidden/>
                <w:rStyle w:val="IndexLink"/>
                <w:vanish w:val="false"/>
              </w:rPr>
              <w:t xml:space="preserve">2.1.1 </w:t>
            </w:r>
            <w:r>
              <w:rPr>
                <w:rStyle w:val="IndexLink"/>
                <w:i w:val="false"/>
              </w:rPr>
              <w:t>Обзор иностранных опенсорсных SCA-инструментов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3"/>
            <w:tabs>
              <w:tab w:val="clear" w:pos="709"/>
              <w:tab w:val="right" w:pos="9245" w:leader="dot"/>
            </w:tabs>
            <w:rPr/>
          </w:pPr>
          <w:hyperlink w:anchor="__RefHeading___Toc3446_1511805350">
            <w:r>
              <w:rPr>
                <w:webHidden/>
                <w:rStyle w:val="IndexLink"/>
                <w:vanish w:val="false"/>
              </w:rPr>
              <w:t xml:space="preserve">2.1.2 </w:t>
            </w:r>
            <w:r>
              <w:rPr>
                <w:rStyle w:val="IndexLink"/>
                <w:i w:val="false"/>
              </w:rPr>
              <w:t>Обзор отечественных SCA-инструментов</w:t>
            </w:r>
            <w:r>
              <w:rPr>
                <w:rStyle w:val="IndexLink"/>
              </w:rPr>
              <w:tab/>
              <w:t>11</w:t>
            </w:r>
          </w:hyperlink>
        </w:p>
        <w:p>
          <w:pPr>
            <w:pStyle w:val="Contents2"/>
            <w:tabs>
              <w:tab w:val="clear" w:pos="709"/>
              <w:tab w:val="right" w:pos="9245" w:leader="dot"/>
            </w:tabs>
            <w:rPr/>
          </w:pPr>
          <w:hyperlink w:anchor="__RefHeading___Toc3448_1511805350">
            <w:r>
              <w:rPr>
                <w:webHidden/>
                <w:rStyle w:val="IndexLink"/>
                <w:vanish w:val="false"/>
              </w:rPr>
              <w:t>2.2 Название подраздела</w:t>
              <w:tab/>
              <w:t>11</w:t>
            </w:r>
          </w:hyperlink>
        </w:p>
        <w:p>
          <w:pPr>
            <w:pStyle w:val="Contents3"/>
            <w:tabs>
              <w:tab w:val="clear" w:pos="709"/>
              <w:tab w:val="right" w:pos="9245" w:leader="dot"/>
            </w:tabs>
            <w:rPr/>
          </w:pPr>
          <w:hyperlink w:anchor="__RefHeading___Toc3450_1511805350">
            <w:r>
              <w:rPr>
                <w:webHidden/>
                <w:rStyle w:val="IndexLink"/>
                <w:vanish w:val="false"/>
              </w:rPr>
              <w:t>2.2.1 Название пункта</w:t>
              <w:tab/>
              <w:t>11</w:t>
            </w:r>
          </w:hyperlink>
        </w:p>
        <w:p>
          <w:pPr>
            <w:pStyle w:val="Contents3"/>
            <w:tabs>
              <w:tab w:val="clear" w:pos="709"/>
              <w:tab w:val="right" w:pos="9245" w:leader="dot"/>
            </w:tabs>
            <w:rPr/>
          </w:pPr>
          <w:hyperlink w:anchor="__RefHeading___Toc3452_1511805350">
            <w:r>
              <w:rPr>
                <w:webHidden/>
                <w:rStyle w:val="IndexLink"/>
                <w:vanish w:val="false"/>
              </w:rPr>
              <w:t>2.2.2 Название пункта</w:t>
              <w:tab/>
              <w:t>11</w:t>
            </w:r>
          </w:hyperlink>
        </w:p>
        <w:p>
          <w:pPr>
            <w:pStyle w:val="Contents1"/>
            <w:tabs>
              <w:tab w:val="clear" w:pos="709"/>
              <w:tab w:val="right" w:pos="9245" w:leader="dot"/>
            </w:tabs>
            <w:rPr/>
          </w:pPr>
          <w:hyperlink w:anchor="__RefHeading___Toc3454_1511805350">
            <w:r>
              <w:rPr>
                <w:webHidden/>
                <w:rStyle w:val="IndexLink"/>
                <w:vanish w:val="false"/>
              </w:rPr>
              <w:t>3 Заключение</w:t>
              <w:tab/>
              <w:t>12</w:t>
            </w:r>
          </w:hyperlink>
        </w:p>
        <w:p>
          <w:pPr>
            <w:pStyle w:val="Contents1"/>
            <w:tabs>
              <w:tab w:val="clear" w:pos="709"/>
              <w:tab w:val="right" w:pos="9245" w:leader="dot"/>
            </w:tabs>
            <w:rPr/>
          </w:pPr>
          <w:hyperlink w:anchor="__RefHeading___Toc3456_1511805350">
            <w:r>
              <w:rPr>
                <w:webHidden/>
                <w:rStyle w:val="IndexLink"/>
                <w:vanish w:val="false"/>
              </w:rPr>
              <w:t>4 Список использованных источников</w:t>
              <w:tab/>
              <w:t>13</w:t>
            </w:r>
          </w:hyperlink>
        </w:p>
        <w:p>
          <w:pPr>
            <w:pStyle w:val="Contents1"/>
            <w:tabs>
              <w:tab w:val="clear" w:pos="709"/>
              <w:tab w:val="right" w:pos="9245" w:leader="dot"/>
            </w:tabs>
            <w:rPr/>
          </w:pPr>
          <w:hyperlink w:anchor="__RefHeading___Toc3458_1511805350">
            <w:r>
              <w:rPr>
                <w:webHidden/>
                <w:rStyle w:val="IndexLink"/>
                <w:vanish w:val="false"/>
              </w:rPr>
              <w:t>ПРИЛОЖЕНИЕ А. Основные требования к оформлению текста ВКР</w:t>
              <w:tab/>
              <w:t>14</w:t>
            </w:r>
          </w:hyperlink>
        </w:p>
        <w:p>
          <w:pPr>
            <w:pStyle w:val="Contents1"/>
            <w:tabs>
              <w:tab w:val="clear" w:pos="709"/>
              <w:tab w:val="right" w:pos="9245" w:leader="dot"/>
            </w:tabs>
            <w:rPr/>
          </w:pPr>
          <w:hyperlink w:anchor="__RefHeading___Toc3460_1511805350">
            <w:r>
              <w:rPr>
                <w:webHidden/>
                <w:rStyle w:val="IndexLink"/>
                <w:vanish w:val="false"/>
              </w:rPr>
              <w:t>ПРИЛОЖЕНИЕ Б. Пример списка использованных источников</w:t>
              <w:tab/>
              <w:t>20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6"/>
          <w:szCs w:val="26"/>
          <w:lang w:val="ru-RU" w:eastAsia="en-US" w:bidi="ar-SA"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6"/>
          <w:szCs w:val="26"/>
          <w:lang w:val="ru-RU" w:eastAsia="en-US" w:bidi="ar-SA"/>
        </w:rPr>
      </w:r>
      <w:r>
        <w:br w:type="page"/>
      </w:r>
    </w:p>
    <w:p>
      <w:pPr>
        <w:pStyle w:val="Heading1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bookmarkStart w:id="1" w:name="__RefHeading___Toc3438_1511805350"/>
      <w:bookmarkStart w:id="2" w:name="_Toc153218533"/>
      <w:bookmarkEnd w:id="1"/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>1 Введение</w:t>
      </w:r>
      <w:bookmarkEnd w:id="2"/>
    </w:p>
    <w:p>
      <w:pPr>
        <w:pStyle w:val="TextBody"/>
        <w:spacing w:lineRule="auto" w:line="360" w:before="0" w:after="0"/>
        <w:ind w:left="510" w:right="51" w:hanging="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 xml:space="preserve">Цель данной работы заключается в повышении эффективности разработки и обеспечения безопасности микросервисов, построенных на платформе Java Spring Boot, путем интеграции методов статического и динамического анализа, а также анализа состава программного обеспечения. В частности, акцент будет сделан на использовании инструментов SCA (Software Composition Analysis), SAST (Static Application Security Testing) и DAST (Dynamic Application Security Testing). </w:t>
      </w:r>
    </w:p>
    <w:p>
      <w:pPr>
        <w:pStyle w:val="TextBody"/>
        <w:spacing w:lineRule="auto" w:line="360" w:before="0" w:after="0"/>
        <w:ind w:left="510" w:right="51" w:hanging="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 xml:space="preserve">В рамках исследования будет изучено применение опенсорсных библиотек, доступных для скачивания в России, что обеспечит доступность и возможность практической реализации предложенных решений. Особое внимание будет уделено поиску и оценке русских аналогов анализируемых инструментов, если таковые найдутся. </w:t>
      </w:r>
    </w:p>
    <w:p>
      <w:pPr>
        <w:pStyle w:val="TextBody"/>
        <w:spacing w:lineRule="auto" w:line="360" w:before="0" w:after="0"/>
        <w:ind w:left="510" w:right="51" w:hanging="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>В результате работы будет представлена практическая реализация интеграции инструментов SCA и SAST в процесс разработки микросервисов, что позволит продемонстрировать их взаимодополняемость и вклад в повышение уровня безопасности приложений. Кроме того, будет рассмотрено применение DAST в рамках тестирования и эксплуатации, что подчеркнет важность комплексного подхода к обеспечению безопасности. Таким образом, работа направлена не только на решение конкретных прикладных задач, но и на развитие понимания актуальных методов обеспечения безопасности в контексте современного программного обеспечения.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3" w:name="__RefHeading___Toc3440_1511805350"/>
      <w:bookmarkStart w:id="4" w:name="_Toc153218534"/>
      <w:bookmarkEnd w:id="3"/>
      <w:r>
        <w:rPr>
          <w:sz w:val="26"/>
          <w:szCs w:val="26"/>
        </w:rPr>
        <w:t>2 </w:t>
      </w:r>
      <w:bookmarkEnd w:id="4"/>
      <w:r>
        <w:rPr>
          <w:sz w:val="26"/>
          <w:szCs w:val="26"/>
        </w:rPr>
        <w:t>Обзор литературы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В этой главе я проведу обзор литературы, посвященной инструментам статического и динамического анализа программного обеспечения (SCA, SAST и DAST), с акцентом на их применение в контексте разработки Java-приложений, использующих библиотеку Spring Boot.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Также я буду рассматривать использование этих инструментов в процессах непрерывной интеграции и доставки (CI/CD), что является важной частью практик DevSecOps. Одним из ключевых аспектов внедрения SAST и DAST инструментов должно быть их удобство интеграции в существующие рабочие процессы разработки. Эти инструменты должны быть легко подключяемы к CI/CD конвейерам. </w:t>
      </w:r>
    </w:p>
    <w:p>
      <w:pPr>
        <w:pStyle w:val="Heading2"/>
        <w:rPr>
          <w:sz w:val="26"/>
          <w:szCs w:val="26"/>
        </w:rPr>
      </w:pPr>
      <w:bookmarkStart w:id="5" w:name="__RefHeading___Toc3442_1511805350"/>
      <w:bookmarkStart w:id="6" w:name="_Toc153218535"/>
      <w:bookmarkEnd w:id="5"/>
      <w:r>
        <w:rPr>
          <w:sz w:val="26"/>
          <w:szCs w:val="26"/>
        </w:rPr>
        <w:t>2.1 </w:t>
      </w:r>
      <w:bookmarkEnd w:id="6"/>
      <w:r>
        <w:rPr>
          <w:rStyle w:val="Strong"/>
          <w:b/>
          <w:sz w:val="26"/>
          <w:szCs w:val="26"/>
        </w:rPr>
        <w:t>SCA для Java-проектов с использованием Spring Boot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Компоненты с открытым исходным кодом стали основными элементами программного обеспечения в различных областях. Системы SCA помогают контролировать эти компоненты в приложениях, что критично для их безопасности. Всё больше современных приложений строится на базе открытого кода, и по некоторым данным, до 90% их кода может состоять из опенсорса [1]. Анализ компонентов программного обеспечения (SCA) представляет собой процесс идентификации и оценки компонентов, особенно открытого исходного кода, в рамках программного обеспечения, а также проверки их безопасности. Используя SCA, команды разработчиков могут быстро обнаруживать и анализировать опенсорсные компоненты, интегрированные в проект. Инструменты SCA способны выявлять все связанные компоненты и библиотеки, а также прямые и косвенные зависимости. Кроме этого, системы SCA выявляют лицензии программного обеспечения, устаревшие зависимости, уязвимости и потенциальные угрозы.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В результате сканирования создаётся полная спецификация, которая позволяет провести инвентаризацию программных активов проекта. Хотя инструменты SCA существуют уже давно, их значение возросло с увеличением использования открытого исходного кода в последние годы, и они стали ключевыми для повышения безопасности приложений. Современные методологии разработки, такие как DevSecOps, требуют, чтобы SCA был удобен как для разработчиков, так и для специалистов по безопасности, чья роль заключается в поддержке разработчиков на всех этапах жизненного цикла разработки программного обеспечения.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В области разработки программного обеспечения эффективное управление зависимостями является ключевым аспектом в создании надежных и безопасных приложений. Spring Boot, который зарекомендовал себя как предпочтительный инструмент среди разработчиков на языке Java, значительно упрощает процесс разработки, однако не следует ограничиваться лишь его удобством. Критически важно осуществлять мониторинг и актуализацию зависимостей, чтобы обеспечить бесперебойную работу проектов на Spring Boot и их устойчивость к постоянно эволюционирующим угрозам [2].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Одним из наиболее важных аспектов управления зависимостями в рамках Spring Boot является вопрос безопасности. Уязвимости в программном обеспечении регулярно выявляются, и своевременное обновление зависимостей в проекте можно рассматривать как форму цифровой защиты. Устаревшие зависимости представляют собой потенциальные риски, аналогичные незапертым дверям, которые могут способствовать проникновению угроз. Следовательно, необходимо принять меры для предотвращения таких ситуаций и обеспечить безопасность и целостность разрабатываемых приложений [2].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 xml:space="preserve">Gradle и Maven — это популярные инструменты для управления проектами и построения программного обеспечения на языке Java. Они упрощают процесс сборки, управления зависимостями и автоматизации рабочего процесса, позволяя разработчикам сосредоточиться на написании кода, а не на решении организационных задач.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В ходе обзора средств анализа компонентов программного обеспечения (SCA) для Java-приложений я отметила, что фреймворки SCA различаются по удобству использования для разработчиков. К менее удобным инструментам можно отнести те, которые требуют локальной установки для анализа кода, что подразумевает необходимость запуска исполняемого файла приложения. В то же время существуют более удобные SCA-инструменты, которые позволяют легко добавлять зависимости в Gradle или Maven, после чего их можно использовать непосредственно через эти системы управления проектами.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В следующей части работы будет представлен обзор международных опенсорсных SCA-инструментов, которые я бы захотела использовать благодаря их удобству и эффективности. Также мне удалось обнаружить перспективный отечественный SCA-инструмент, о котором стоит рассказать.</w:t>
      </w:r>
    </w:p>
    <w:p>
      <w:pPr>
        <w:pStyle w:val="Heading3"/>
        <w:rPr>
          <w:sz w:val="26"/>
          <w:szCs w:val="26"/>
        </w:rPr>
      </w:pPr>
      <w:bookmarkStart w:id="7" w:name="__RefHeading___Toc3444_1511805350"/>
      <w:bookmarkStart w:id="8" w:name="_Toc153218536"/>
      <w:bookmarkEnd w:id="7"/>
      <w:r>
        <w:rPr>
          <w:sz w:val="26"/>
          <w:szCs w:val="26"/>
        </w:rPr>
        <w:t>2.1.1</w:t>
      </w:r>
      <w:bookmarkEnd w:id="8"/>
      <w:r>
        <w:rPr>
          <w:sz w:val="26"/>
          <w:szCs w:val="26"/>
        </w:rPr>
        <w:t xml:space="preserve"> </w:t>
      </w:r>
      <w:r>
        <w:rPr>
          <w:rFonts w:eastAsia="" w:cs="Times New Roman" w:eastAsiaTheme="majorEastAsia"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Обзор иностранных опенсорсных SCA-инструментов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6"/>
          <w:szCs w:val="26"/>
          <w:lang w:val="ru-RU" w:eastAsia="en-US" w:bidi="ar-SA"/>
        </w:rPr>
        <w:t xml:space="preserve">OWASP </w:t>
      </w: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</w:rPr>
        <w:t>dependency check</w:t>
      </w:r>
      <w:r>
        <w:rPr>
          <w:rFonts w:cs="Times New Roman" w:ascii="Times New Roman" w:hAnsi="Times New Roman"/>
          <w:iCs w:val="false"/>
          <w:sz w:val="26"/>
          <w:szCs w:val="26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Одним из популярных решений является OWASP Dependency-Check, который можно использовать в качестве плагина для Gradle или Maven. При выполнении он сравнивает все зависимости приложения с базой данных NIST NVD и индексом Sonatype OSS. Этот инструмент позволяет подавлять предупреждения и генерировать отчеты, а также легко интегрируется в CI-пайплайн. Основным недостатком является то, что он иногда выдает ложные срабатывания, так как база данных NIST NVD не предоставляет данные в идеальном формате. Кроме того, первый запуск занимает много времени, так как необходимо загрузить всю базу данных уязвимостей [3]. 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Использую Gradle, поэтому приведу пример как добавить плагин OWASP Dependency-Check 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в build.gradle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 (Рисунок 1), запустить сканирование (Рисунок 2) [4].</w:t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Запустить сканирование можно так (смотрите рисунок 2). Посмотреть результаты сканирования можно в папке 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90695" cy="2389505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840" cy="238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290695" cy="195389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0" t="0" r="23946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0695" cy="1953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 xml:space="preserve"> - Инсталляция из центрального репозитория Maven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>[4]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64.9pt;margin-top:0.05pt;width:337.8pt;height:188.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290695" cy="195389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0" t="0" r="23946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0695" cy="1953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t>1</w:t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 xml:space="preserve"> - Инсталляция из центрального репозитория Maven </w:t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>[4]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Style w:val="SourceText"/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${buildDir}/reports.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76835</wp:posOffset>
                </wp:positionV>
                <wp:extent cx="4596130" cy="666750"/>
                <wp:effectExtent l="0" t="0" r="0" b="0"/>
                <wp:wrapTopAndBottom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120" cy="66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>
                                <w:rFonts w:ascii="Times New Roman" w:hAnsi="Times New Roman" w:eastAsia="Calibri" w:cs="" w:cstheme="minorBidi" w:eastAsiaTheme="minorHAnsi"/>
                                <w:i w:val="false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710430" cy="372745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0" t="0" r="16499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0430" cy="372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t xml:space="preserve">Рисунок </w:t>
                            </w:r>
                            <w:r>
                              <w:rPr>
                                <w:rFonts w:eastAsia="Calibri" w:cs="" w:ascii="Times New Roman" w:hAnsi="Times New Roman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fldChar w:fldCharType="separate"/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t>2</w:t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fldChar w:fldCharType="end"/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t xml:space="preserve"> - Запуск плагина </w:t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t>[4]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52.9pt;margin-top:6.05pt;width:361.85pt;height:52.4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>
                          <w:rFonts w:ascii="Times New Roman" w:hAnsi="Times New Roman" w:eastAsia="Calibri" w:cs="" w:cstheme="minorBidi" w:eastAsiaTheme="minorHAnsi"/>
                          <w:i w:val="false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710430" cy="372745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0" t="0" r="16499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0430" cy="372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t xml:space="preserve">Рисунок </w:t>
                      </w:r>
                      <w:r>
                        <w:rPr>
                          <w:rFonts w:eastAsia="Calibri" w:cs="" w:ascii="Times New Roman" w:hAnsi="Times New Roman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fldChar w:fldCharType="begin"/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instrText xml:space="preserve"> SEQ Рисунок \* ARABIC </w:instrText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fldChar w:fldCharType="separate"/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t>2</w:t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fldChar w:fldCharType="end"/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t xml:space="preserve"> - Запуск плагина </w:t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t>[4]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eastAsia="Calibri" w:cs="Times New Roman" w:ascii="Times New Roman" w:hAnsi="Times New Roman" w:eastAsiaTheme="minorHAnsi"/>
          <w:b w:val="false"/>
          <w:i/>
          <w:iCs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Snyk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Snyk Gradle Plugin - это плагин для системы сборки Gradle, который позволяет интегрировать функциональность Snyk прямо в процесс сборки Java-проекта. Этот плагин позволяет использовать Snyk для сканирования зависимостей проекта и исходного кода на наличие уязвимостей и других проблем безопасности. Он включает в себя функционал </w:t>
      </w:r>
      <w:bookmarkStart w:id="9" w:name="bd-1-snyk-open-source"/>
      <w:bookmarkEnd w:id="9"/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Snyk Open Source и Snyk Code.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Snyk Open Source: Сканирует зависимости проекта (библиотеки и пакеты с открытым исходным кодом) на наличие известных уязвимостей. Предлагает решения по устранению найденных уязвимостей (например, обновление до более безопасной версии или применение патча).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Snyk Code: Анализирует исходный код на наличие уязвимостей безопасности и проблем с качеством кода (например, «code smells», ошибки логики и т. д.). Пример конфигурации в build.gradle (на примере сканирования зависимостей, Рисунок 3) [5].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Бесплатная версия Snyk предоставляет ограниченное количество ежемесячных сканирований, так как доступ к её возможностям осуществляется через API ключ (настройка apiToken, Рисунок 5), полученный при регистрации. Поэтому постоянный запуск тестов на каждом этапе сборки может привести к быстрому исчерпанию лимита. Рекомендуется настроить запуск сканирования Snyk реже, например, только перед релизом или по расписанию.</w: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810760" cy="3483610"/>
                <wp:effectExtent l="0" t="0" r="0" b="0"/>
                <wp:wrapTopAndBottom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760" cy="34836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>
                                <w:rFonts w:ascii="Times New Roman" w:hAnsi="Times New Roman" w:eastAsia="Calibri" w:cs="Times New Roman" w:eastAsiaTheme="minorHAnsi"/>
                                <w:b w:val="false"/>
                                <w:b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auto"/>
                                <w:spacing w:val="0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eastAsia="Calibri" w:cs="Times New Roman" w:eastAsiaTheme="minorHAnsi" w:ascii="Times New Roman" w:hAnsi="Times New Roman"/>
                                <w:b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auto"/>
                                <w:spacing w:val="0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drawing>
                                <wp:inline distT="0" distB="0" distL="0" distR="0">
                                  <wp:extent cx="4810760" cy="3113405"/>
                                  <wp:effectExtent l="0" t="0" r="0" b="0"/>
                                  <wp:docPr id="10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0" t="0" r="15776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0760" cy="3113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3 -Пример конфигурации плагина Snyk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78.8pt;height:274.3pt;mso-wrap-distance-left:0pt;mso-wrap-distance-right:0pt;mso-wrap-distance-top:0pt;mso-wrap-distance-bottom:0pt;margin-top:0pt;mso-position-vertical:top;mso-position-vertical-relative:text;margin-left:44.45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>
                          <w:rFonts w:ascii="Times New Roman" w:hAnsi="Times New Roman" w:eastAsia="Calibri" w:cs="Times New Roman" w:eastAsiaTheme="minorHAnsi"/>
                          <w:b w:val="false"/>
                          <w:b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color w:val="auto"/>
                          <w:spacing w:val="0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</w:pPr>
                      <w:r>
                        <w:rPr>
                          <w:rFonts w:eastAsia="Calibri" w:cs="Times New Roman" w:eastAsiaTheme="minorHAnsi" w:ascii="Times New Roman" w:hAnsi="Times New Roman"/>
                          <w:b w:val="false"/>
                          <w:i w:val="false"/>
                          <w:iCs w:val="false"/>
                          <w:caps w:val="false"/>
                          <w:smallCaps w:val="false"/>
                          <w:color w:val="auto"/>
                          <w:spacing w:val="0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drawing>
                          <wp:inline distT="0" distB="0" distL="0" distR="0">
                            <wp:extent cx="4810760" cy="3113405"/>
                            <wp:effectExtent l="0" t="0" r="0" b="0"/>
                            <wp:docPr id="11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0" t="0" r="15776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10760" cy="3113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3 -Пример конфигурации плагина Snyk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/>
      </w:r>
    </w:p>
    <w:p>
      <w:pPr>
        <w:pStyle w:val="Heading3"/>
        <w:rPr>
          <w:sz w:val="26"/>
          <w:szCs w:val="26"/>
        </w:rPr>
      </w:pPr>
      <w:bookmarkStart w:id="10" w:name="__RefHeading___Toc3446_1511805350"/>
      <w:bookmarkStart w:id="11" w:name="_Toc153218537"/>
      <w:bookmarkEnd w:id="10"/>
      <w:r>
        <w:rPr>
          <w:sz w:val="26"/>
          <w:szCs w:val="26"/>
        </w:rPr>
        <w:t xml:space="preserve">2.1.2 </w:t>
      </w:r>
      <w:bookmarkEnd w:id="11"/>
      <w:r>
        <w:rPr>
          <w:rFonts w:eastAsia="" w:cs="Times New Roman" w:eastAsiaTheme="majorEastAsia"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Обзор отечественных SCA-инструментов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Heading2"/>
        <w:rPr>
          <w:sz w:val="26"/>
          <w:szCs w:val="26"/>
        </w:rPr>
      </w:pPr>
      <w:bookmarkStart w:id="12" w:name="__RefHeading___Toc3448_1511805350"/>
      <w:bookmarkStart w:id="13" w:name="_Toc153218538"/>
      <w:bookmarkEnd w:id="12"/>
      <w:r>
        <w:rPr>
          <w:sz w:val="26"/>
          <w:szCs w:val="26"/>
        </w:rPr>
        <w:t>2.2 Название подраздела</w:t>
      </w:r>
      <w:bookmarkEnd w:id="13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Heading3"/>
        <w:rPr>
          <w:sz w:val="26"/>
          <w:szCs w:val="26"/>
        </w:rPr>
      </w:pPr>
      <w:bookmarkStart w:id="14" w:name="__RefHeading___Toc3450_1511805350"/>
      <w:bookmarkStart w:id="15" w:name="_Toc153218539"/>
      <w:bookmarkEnd w:id="14"/>
      <w:r>
        <w:rPr>
          <w:sz w:val="26"/>
          <w:szCs w:val="26"/>
        </w:rPr>
        <w:t>2.2.1 Название пункта</w:t>
      </w:r>
      <w:bookmarkEnd w:id="15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Heading3"/>
        <w:rPr>
          <w:sz w:val="26"/>
          <w:szCs w:val="26"/>
        </w:rPr>
      </w:pPr>
      <w:bookmarkStart w:id="16" w:name="__RefHeading___Toc3452_1511805350"/>
      <w:bookmarkStart w:id="17" w:name="_Toc153218540"/>
      <w:bookmarkEnd w:id="16"/>
      <w:r>
        <w:rPr>
          <w:sz w:val="26"/>
          <w:szCs w:val="26"/>
        </w:rPr>
        <w:t>2.2.2 Название пункта</w:t>
      </w:r>
      <w:bookmarkEnd w:id="17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18" w:name="__RefHeading___Toc3454_1511805350"/>
      <w:bookmarkStart w:id="19" w:name="_Toc153218541"/>
      <w:bookmarkEnd w:id="18"/>
      <w:r>
        <w:rPr>
          <w:sz w:val="26"/>
          <w:szCs w:val="26"/>
        </w:rPr>
        <w:t>3 Заключение</w:t>
      </w:r>
      <w:bookmarkEnd w:id="19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Приводится краткое описание результатов ВКР.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20" w:name="__RefHeading___Toc3456_1511805350"/>
      <w:bookmarkStart w:id="21" w:name="_Toc153218542"/>
      <w:bookmarkEnd w:id="20"/>
      <w:r>
        <w:rPr>
          <w:sz w:val="26"/>
          <w:szCs w:val="26"/>
        </w:rPr>
        <w:t>4 Список использованных источников</w:t>
      </w:r>
      <w:bookmarkEnd w:id="21"/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1. Обзор рынка инструментов SCA (Software Composition Analysis)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–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URL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: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 xml:space="preserve">https://www.anti-malware.ru/analytics/Market_Analysis/Software-Composition-Analysis 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(дата обращения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15.01.2025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).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2.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Handling security vulnerabilities in Spring Boot | Snyk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. – URL: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https://snyk.io/blog/security-vulnerabilities-spring-boot/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(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дата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обращения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15.01.2025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3. Dealing with Java CVEs: Discovery, Detection, Analysis, and Resolution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. – URL: https://www.infoq.com/articles/dealing-with-java-cves/ (дата обращения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16.01.2025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4. OWASP/ Dependency-Check/ documentation/ Usage</w:t>
      </w:r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 – </w:t>
      </w:r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URL: </w:t>
      </w:r>
      <w:hyperlink r:id="rId8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sz w:val="26"/>
            <w:szCs w:val="26"/>
            <w:u w:val="none"/>
            <w:lang w:val="en-US" w:eastAsia="ru-RU"/>
          </w:rPr>
          <w:t>http://jeremylong.github.io/DependencyCheck/dependency-check-gradle/index.html</w:t>
        </w:r>
      </w:hyperlink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 (дата обращения </w:t>
      </w:r>
      <w:sdt>
        <w:sdtPr/>
        <w:sdtContent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</w:r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  <w:t>16.01.2025</w:t>
          </w:r>
        </w:sdtContent>
      </w:sdt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>)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5. Detect Security Vulnerabilities with Snyk – URL: </w:t>
      </w:r>
      <w:hyperlink r:id="rId9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sz w:val="26"/>
            <w:szCs w:val="26"/>
            <w:u w:val="none"/>
            <w:lang w:val="en-US" w:eastAsia="ru-RU"/>
          </w:rPr>
          <w:t>https://www.baeldung.com/java-snyk-security-risks</w:t>
        </w:r>
      </w:hyperlink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 (дата обращения </w:t>
      </w:r>
      <w:sdt>
        <w:sdtPr/>
        <w:sdtContent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</w:r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  <w:t>19.01.2025</w:t>
          </w:r>
        </w:sdtContent>
      </w:sdt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>)</w:t>
      </w:r>
    </w:p>
    <w:sectPr>
      <w:footerReference w:type="defaul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360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6"/>
        <w:szCs w:val="26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6"/>
        <w:szCs w:val="26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6"/>
        <w:szCs w:val="26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6"/>
        <w:szCs w:val="26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6"/>
        <w:szCs w:val="26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6"/>
        <w:szCs w:val="26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6"/>
        <w:szCs w:val="26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6"/>
        <w:szCs w:val="26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6"/>
        <w:szCs w:val="26"/>
        <w:rFonts w:ascii="Times New Roman" w:hAnsi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768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20399"/>
    <w:pPr>
      <w:keepNext w:val="true"/>
      <w:keepLines/>
      <w:spacing w:lineRule="auto" w:line="360" w:before="0" w:after="0"/>
      <w:ind w:firstLine="709"/>
      <w:outlineLvl w:val="0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40df9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a1043"/>
    <w:pPr>
      <w:keepNext w:val="true"/>
      <w:keepLines/>
      <w:spacing w:lineRule="auto" w:line="360" w:before="0" w:after="0"/>
      <w:ind w:left="709" w:hanging="0"/>
      <w:jc w:val="both"/>
      <w:outlineLvl w:val="2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1" w:customStyle="1">
    <w:name w:val="Текст сноски Знак"/>
    <w:basedOn w:val="DefaultParagraphFont"/>
    <w:link w:val="Footnote"/>
    <w:uiPriority w:val="99"/>
    <w:semiHidden/>
    <w:qFormat/>
    <w:rsid w:val="00b04373"/>
    <w:rPr>
      <w:sz w:val="20"/>
      <w:szCs w:val="20"/>
    </w:rPr>
  </w:style>
  <w:style w:type="character" w:styleId="FootnoteCharacters">
    <w:name w:val="Footnote Characters"/>
    <w:qFormat/>
    <w:rsid w:val="00b0437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40df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ba19b6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154a8"/>
    <w:rPr>
      <w:color w:val="800080" w:themeColor="followedHyperlink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205741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2039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5" w:customStyle="1">
    <w:name w:val="Подзаголовок Знак"/>
    <w:basedOn w:val="DefaultParagraphFont"/>
    <w:link w:val="Subtitle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Standard" w:customStyle="1">
    <w:name w:val="Standard Знак"/>
    <w:basedOn w:val="DefaultParagraphFont"/>
    <w:link w:val="Standard1"/>
    <w:qFormat/>
    <w:locked/>
    <w:rsid w:val="00c30ede"/>
    <w:rPr>
      <w:rFonts w:ascii="Calibri" w:hAnsi="Calibri" w:eastAsia="SimSun" w:cs="Tahoma"/>
      <w:kern w:val="2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a1043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6" w:customStyle="1">
    <w:name w:val="Основной текст Знак"/>
    <w:basedOn w:val="DefaultParagraphFont"/>
    <w:uiPriority w:val="1"/>
    <w:qFormat/>
    <w:rsid w:val="00b75bc1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>
      <w:rFonts w:ascii="Times New Roman" w:hAnsi="Times New Roman"/>
      <w:sz w:val="26"/>
      <w:szCs w:val="2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6"/>
    <w:uiPriority w:val="1"/>
    <w:qFormat/>
    <w:rsid w:val="00b75bc1"/>
    <w:pPr>
      <w:widowControl w:val="false"/>
      <w:spacing w:lineRule="auto" w:line="240" w:before="0" w:after="0"/>
      <w:ind w:left="510" w:hanging="397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Style11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17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fb6a0f"/>
    <w:pPr>
      <w:spacing w:lineRule="auto" w:line="360" w:before="0" w:after="100"/>
      <w:jc w:val="both"/>
    </w:pPr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link w:val="Style15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220" w:hanging="0"/>
      <w:jc w:val="both"/>
    </w:pPr>
    <w:rPr>
      <w:rFonts w:ascii="Times New Roman" w:hAnsi="Times New Roman"/>
      <w:sz w:val="26"/>
    </w:rPr>
  </w:style>
  <w:style w:type="paragraph" w:styleId="Contents3">
    <w:name w:val="TOC 3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440" w:hanging="0"/>
      <w:jc w:val="both"/>
    </w:pPr>
    <w:rPr>
      <w:rFonts w:ascii="Times New Roman" w:hAnsi="Times New Roman"/>
      <w:sz w:val="26"/>
    </w:rPr>
  </w:style>
  <w:style w:type="paragraph" w:styleId="Standard1" w:customStyle="1">
    <w:name w:val="Standard"/>
    <w:link w:val="Standard"/>
    <w:qFormat/>
    <w:rsid w:val="00c30ede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SimSun" w:cs="Tahoma" w:asciiTheme="minorHAnsi" w:hAnsiTheme="minorHAnsi"/>
      <w:color w:val="auto"/>
      <w:kern w:val="2"/>
      <w:sz w:val="22"/>
      <w:szCs w:val="22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9">
    <w:name w:val="Рисунок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Style20">
    <w:name w:val="Русуно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hyperlink" Target="http://jeremylong.github.io/DependencyCheck/dependency-check-gradle/index.html" TargetMode="External"/><Relationship Id="rId9" Type="http://schemas.openxmlformats.org/officeDocument/2006/relationships/hyperlink" Target="https://www.baeldung.com/java-snyk-security-risks" TargetMode="Externa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1D1F75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4F7142"/>
    <w:rsid w:val="00515AB3"/>
    <w:rsid w:val="00553DC7"/>
    <w:rsid w:val="00581B1F"/>
    <w:rsid w:val="005E2144"/>
    <w:rsid w:val="00612646"/>
    <w:rsid w:val="006C4965"/>
    <w:rsid w:val="006F120E"/>
    <w:rsid w:val="006F1784"/>
    <w:rsid w:val="00747F43"/>
    <w:rsid w:val="00787E36"/>
    <w:rsid w:val="008504A5"/>
    <w:rsid w:val="008521C4"/>
    <w:rsid w:val="008712D7"/>
    <w:rsid w:val="008C28F6"/>
    <w:rsid w:val="0090265C"/>
    <w:rsid w:val="00964B1F"/>
    <w:rsid w:val="00971852"/>
    <w:rsid w:val="009E1BE7"/>
    <w:rsid w:val="00AC285A"/>
    <w:rsid w:val="00B45AD8"/>
    <w:rsid w:val="00C25747"/>
    <w:rsid w:val="00CB0B73"/>
    <w:rsid w:val="00D01783"/>
    <w:rsid w:val="00D734D0"/>
    <w:rsid w:val="00DA470E"/>
    <w:rsid w:val="00E367E3"/>
    <w:rsid w:val="00EC7825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5747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Application>LibreOffice/7.4.7.2$Linux_X86_64 LibreOffice_project/40$Build-2</Application>
  <AppVersion>15.0000</AppVersion>
  <Pages>15</Pages>
  <Words>1555</Words>
  <Characters>11163</Characters>
  <CharactersWithSpaces>12600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2020-05-14T08:50:00Z</dcterms:created>
  <dc:creator>SIR</dc:creator>
  <dc:description/>
  <dc:language>en-US</dc:language>
  <cp:lastModifiedBy/>
  <dcterms:modified xsi:type="dcterms:W3CDTF">2025-01-19T23:01:35Z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