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00" w:lineRule="auto"/>
      </w:pPr>
      <w:r>
        <w:rPr>
          <w:rFonts w:ascii="Calibri" w:hAnsi="Calibri"/>
          <w:b/>
          <w:i w:val="0"/>
          <w:color w:val="2A7F75"/>
          <w:sz w:val="19"/>
        </w:rPr>
        <w:t>PARCOURS 12 MOIS · MOIS 1</w:t>
      </w:r>
    </w:p>
    <w:p>
      <w:pPr>
        <w:pStyle w:val="Title"/>
      </w:pPr>
      <w:r>
        <w:t>TC01 — Mandat fiduciaire, périmètre et responsabilités</w:t>
      </w:r>
    </w:p>
    <w:p>
      <w:pPr>
        <w:spacing w:before="0" w:after="400" w:line="300" w:lineRule="auto"/>
      </w:pPr>
      <w:r>
        <w:rPr>
          <w:rFonts w:ascii="Calibri" w:hAnsi="Calibri"/>
          <w:b w:val="0"/>
          <w:i w:val="0"/>
          <w:color w:val="5F6F76"/>
          <w:sz w:val="28"/>
        </w:rPr>
        <w:t>Ouvrir un dossier client sans commencer une production non cadrée.</w:t>
      </w:r>
    </w:p>
    <w:p>
      <w:pPr>
        <w:spacing w:before="0" w:after="60" w:line="259" w:lineRule="auto"/>
        <w:shd w:fill="EEF6F5"/>
        <w:pBdr>
          <w:top w:val="single" w:sz="4" w:space="3" w:color="D8E1E3"/>
          <w:left w:val="single" w:sz="4" w:space="3" w:color="D8E1E3"/>
          <w:bottom w:val="single" w:sz="4" w:space="3" w:color="D8E1E3"/>
          <w:right w:val="single" w:sz="4" w:space="3" w:color="D8E1E3"/>
        </w:pBdr>
        <w:ind w:left="90" w:right="90"/>
      </w:pPr>
      <w:r>
        <w:rPr>
          <w:rFonts w:ascii="Calibri" w:hAnsi="Calibri"/>
          <w:b/>
          <w:i w:val="0"/>
          <w:color w:val="2A7F75"/>
          <w:sz w:val="18"/>
        </w:rPr>
        <w:t xml:space="preserve">Public: </w:t>
      </w:r>
      <w:r>
        <w:rPr>
          <w:rFonts w:ascii="Calibri" w:hAnsi="Calibri"/>
          <w:b w:val="0"/>
          <w:i w:val="0"/>
          <w:color w:val="26343A"/>
          <w:sz w:val="18"/>
        </w:rPr>
        <w:t>Assistant·e comptable en cabinet fiduciaire suisse</w:t>
      </w:r>
    </w:p>
    <w:p>
      <w:pPr>
        <w:spacing w:before="0" w:after="60" w:line="259" w:lineRule="auto"/>
        <w:shd w:fill="EEF6F5"/>
        <w:pBdr>
          <w:top w:val="single" w:sz="4" w:space="3" w:color="D8E1E3"/>
          <w:left w:val="single" w:sz="4" w:space="3" w:color="D8E1E3"/>
          <w:bottom w:val="single" w:sz="4" w:space="3" w:color="D8E1E3"/>
          <w:right w:val="single" w:sz="4" w:space="3" w:color="D8E1E3"/>
        </w:pBdr>
        <w:ind w:left="90" w:right="90"/>
      </w:pPr>
      <w:r>
        <w:rPr>
          <w:rFonts w:ascii="Calibri" w:hAnsi="Calibri"/>
          <w:b/>
          <w:i w:val="0"/>
          <w:color w:val="2A7F75"/>
          <w:sz w:val="18"/>
        </w:rPr>
        <w:t xml:space="preserve">Charge indicative: </w:t>
      </w:r>
      <w:r>
        <w:rPr>
          <w:rFonts w:ascii="Calibri" w:hAnsi="Calibri"/>
          <w:b w:val="0"/>
          <w:i w:val="0"/>
          <w:color w:val="26343A"/>
          <w:sz w:val="18"/>
        </w:rPr>
        <w:t>3 h de cours guidé avec guide formateur · 3 h de pratique · 30 à 45 min de revue</w:t>
      </w:r>
    </w:p>
    <w:p>
      <w:pPr>
        <w:spacing w:before="0" w:after="60" w:line="259" w:lineRule="auto"/>
        <w:shd w:fill="EEF6F5"/>
        <w:pBdr>
          <w:top w:val="single" w:sz="4" w:space="3" w:color="D8E1E3"/>
          <w:left w:val="single" w:sz="4" w:space="3" w:color="D8E1E3"/>
          <w:bottom w:val="single" w:sz="4" w:space="3" w:color="D8E1E3"/>
          <w:right w:val="single" w:sz="4" w:space="3" w:color="D8E1E3"/>
        </w:pBdr>
        <w:ind w:left="90" w:right="90"/>
      </w:pPr>
      <w:r>
        <w:rPr>
          <w:rFonts w:ascii="Calibri" w:hAnsi="Calibri"/>
          <w:b/>
          <w:i w:val="0"/>
          <w:color w:val="2A7F75"/>
          <w:sz w:val="18"/>
        </w:rPr>
        <w:t xml:space="preserve">Niveau: </w:t>
      </w:r>
      <w:r>
        <w:rPr>
          <w:rFonts w:ascii="Calibri" w:hAnsi="Calibri"/>
          <w:b w:val="0"/>
          <w:i w:val="0"/>
          <w:color w:val="26343A"/>
          <w:sz w:val="18"/>
        </w:rPr>
        <w:t>Observation guidée et préparation avec checklist</w:t>
      </w:r>
    </w:p>
    <w:p>
      <w:pPr>
        <w:spacing w:before="0" w:after="60" w:line="259" w:lineRule="auto"/>
        <w:shd w:fill="EEF6F5"/>
        <w:pBdr>
          <w:top w:val="single" w:sz="4" w:space="3" w:color="D8E1E3"/>
          <w:left w:val="single" w:sz="4" w:space="3" w:color="D8E1E3"/>
          <w:bottom w:val="single" w:sz="4" w:space="3" w:color="D8E1E3"/>
          <w:right w:val="single" w:sz="4" w:space="3" w:color="D8E1E3"/>
        </w:pBdr>
        <w:ind w:left="90" w:right="90"/>
      </w:pPr>
      <w:r>
        <w:rPr>
          <w:rFonts w:ascii="Calibri" w:hAnsi="Calibri"/>
          <w:b/>
          <w:i w:val="0"/>
          <w:color w:val="2A7F75"/>
          <w:sz w:val="18"/>
        </w:rPr>
        <w:t xml:space="preserve">Version: </w:t>
      </w:r>
      <w:r>
        <w:rPr>
          <w:rFonts w:ascii="Calibri" w:hAnsi="Calibri"/>
          <w:b w:val="0"/>
          <w:i w:val="0"/>
          <w:color w:val="26343A"/>
          <w:sz w:val="18"/>
        </w:rPr>
        <w:t>1.3 · droit et sources revus le 6 août 2026</w:t>
      </w:r>
    </w:p>
    <w:p/>
    <w:p>
      <w:pPr>
        <w:pStyle w:val="Callout"/>
        <w:spacing w:before="80" w:after="160" w:line="300" w:lineRule="auto"/>
        <w:shd w:fill="EEF6F5"/>
        <w:keepLines/>
        <w:pBdr>
          <w:top w:val="single" w:sz="4" w:space="3" w:color="D8E1E3"/>
          <w:left w:val="single" w:sz="4" w:space="3" w:color="D8E1E3"/>
          <w:bottom w:val="single" w:sz="4" w:space="3" w:color="D8E1E3"/>
          <w:right w:val="single" w:sz="4" w:space="3" w:color="D8E1E3"/>
        </w:pBdr>
        <w:ind w:left="110" w:right="110"/>
      </w:pPr>
      <w:r>
        <w:rPr>
          <w:rFonts w:ascii="Calibri" w:hAnsi="Calibri"/>
          <w:b/>
          <w:i w:val="0"/>
          <w:color w:val="153E57"/>
          <w:sz w:val="20"/>
        </w:rPr>
        <w:t xml:space="preserve">RÉFLEXE CENTRAL  </w:t>
      </w:r>
      <w:r>
        <w:rPr>
          <w:rFonts w:ascii="Calibri" w:hAnsi="Calibri"/>
          <w:b w:val="0"/>
          <w:i w:val="0"/>
          <w:color w:val="26343A"/>
          <w:sz w:val="21"/>
        </w:rPr>
        <w:t>Aucune saisie sensible, déclaration, paie ou opération engageante sans entité, mandat, pouvoirs, accès et échéances suffisamment confirmés.</w:t>
      </w:r>
    </w:p>
    <w:p>
      <w:pPr>
        <w:pStyle w:val="Heading1"/>
      </w:pPr>
      <w:r>
        <w:t>1. Résultat professionnel attendu</w:t>
      </w:r>
    </w:p>
    <w:p>
      <w:r>
        <w:t>À l’issue du module, la personne ne devient pas responsable de mandat. Elle doit être capable de préparer l’ouverture d’un dossier PME courant, de rendre visibles les informations manquantes, de distinguer travaux inclus et hors mandat, puis de remettre au responsable une décision d’ouverture exploitable.</w:t>
      </w:r>
    </w:p>
    <w:p>
      <w:pPr>
        <w:numPr>
          <w:ilvl w:val="0"/>
          <w:numId w:val="10"/>
        </w:numPr>
        <w:spacing w:before="0" w:after="80" w:line="300" w:lineRule="auto"/>
      </w:pPr>
      <w:r>
        <w:t>identifier l’entité et les personnes habilitées à donner des instructions;</w:t>
      </w:r>
    </w:p>
    <w:p>
      <w:pPr>
        <w:numPr>
          <w:ilvl w:val="0"/>
          <w:numId w:val="10"/>
        </w:numPr>
        <w:spacing w:before="0" w:after="80" w:line="300" w:lineRule="auto"/>
      </w:pPr>
      <w:r>
        <w:t>lire un mandat comme un document opérationnel, pas comme une formalité commerciale;</w:t>
      </w:r>
    </w:p>
    <w:p>
      <w:pPr>
        <w:numPr>
          <w:ilvl w:val="0"/>
          <w:numId w:val="10"/>
        </w:numPr>
        <w:spacing w:before="0" w:after="80" w:line="300" w:lineRule="auto"/>
      </w:pPr>
      <w:r>
        <w:t>construire un dossier permanent minimal et une matrice d’accès;</w:t>
      </w:r>
    </w:p>
    <w:p>
      <w:pPr>
        <w:numPr>
          <w:ilvl w:val="0"/>
          <w:numId w:val="10"/>
        </w:numPr>
        <w:spacing w:before="0" w:after="80" w:line="300" w:lineRule="auto"/>
      </w:pPr>
      <w:r>
        <w:t>distinguer échéance officielle, délai client et délai interne;</w:t>
      </w:r>
    </w:p>
    <w:p>
      <w:pPr>
        <w:numPr>
          <w:ilvl w:val="0"/>
          <w:numId w:val="10"/>
        </w:numPr>
        <w:spacing w:before="0" w:after="80" w:line="300" w:lineRule="auto"/>
      </w:pPr>
      <w:r>
        <w:t>classer une demande comme incluse, à confirmer, hors mandat ou à escalader;</w:t>
      </w:r>
    </w:p>
    <w:p>
      <w:pPr>
        <w:numPr>
          <w:ilvl w:val="0"/>
          <w:numId w:val="10"/>
        </w:numPr>
        <w:spacing w:before="0" w:after="80" w:line="300" w:lineRule="auto"/>
      </w:pPr>
      <w:r>
        <w:t>formuler une demande de pièces brève, priorisée et traçable;</w:t>
      </w:r>
    </w:p>
    <w:p>
      <w:pPr>
        <w:numPr>
          <w:ilvl w:val="0"/>
          <w:numId w:val="10"/>
        </w:numPr>
        <w:spacing w:before="0" w:after="80" w:line="300" w:lineRule="auto"/>
      </w:pPr>
      <w:r>
        <w:t>proposer une décision GO, GO sous conditions ou NO-GO, sans se substituer au responsable.</w:t>
      </w:r>
    </w:p>
    <w:p>
      <w:pPr>
        <w:pStyle w:val="Heading1"/>
      </w:pPr>
      <w:r>
        <w:t>2. Pourquoi le mandat précède la comptabilité</w:t>
      </w:r>
    </w:p>
    <w:p>
      <w:r>
        <w:t>La remise de factures ou d’un accès bancaire ne définit pas, à elle seule, ce que le cabinet doit produire. Une même phrase du client — «faites la compta» — peut recouvrir la saisie, les rapprochements, la TVA, la paie, le bouclement, la déclaration fiscale, les paiements ou le reporting. Ces prestations n’ont ni le même risque, ni les mêmes pouvoirs, ni les mêmes données d’entrée.</w:t>
      </w:r>
    </w:p>
    <w:p>
      <w:r>
        <w:t>Le premier travail fiduciaire consiste donc à transformer une demande générale en un périmètre explicite: quelles prestations, pour quelle entité, sur quelle période, à partir de quelles pièces, avec quels délais, quelles validations et quelles exclusions. Cette discipline protège le client, le cabinet et le collaborateur.</w:t>
      </w:r>
    </w:p>
    <w:p>
      <w:pPr>
        <w:pStyle w:val="Heading1"/>
      </w:pPr>
      <w:r>
        <w:t>3. Cadre juridique utile au junior</w:t>
      </w:r>
    </w:p>
    <w:tbl>
      <w:tblPr>
        <w:tblStyle w:val="TableGrid"/>
        <w:tblW w:type="dxa" w:w="9360"/>
        <w:tblLayout w:type="fixed"/>
        <w:tblLook w:firstColumn="1" w:firstRow="1" w:lastColumn="0" w:lastRow="0" w:noHBand="0" w:noVBand="1" w:val="04A0"/>
        <w:tblInd w:w="120" w:type="dxa"/>
      </w:tblPr>
      <w:tblGrid>
        <w:gridCol w:w="1300"/>
        <w:gridCol w:w="3300"/>
        <w:gridCol w:w="4760"/>
      </w:tblGrid>
      <w:tr>
        <w:trPr>
          <w:tblHeader w:val="true"/>
        </w:trPr>
        <w:tc>
          <w:tcPr>
            <w:tcW w:type="dxa" w:w="13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Base</w:t>
            </w:r>
          </w:p>
        </w:tc>
        <w:tc>
          <w:tcPr>
            <w:tcW w:type="dxa" w:w="33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Idée à retenir</w:t>
            </w:r>
          </w:p>
        </w:tc>
        <w:tc>
          <w:tcPr>
            <w:tcW w:type="dxa" w:w="476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Conséquence dans le dossier</w:t>
            </w:r>
          </w:p>
        </w:tc>
      </w:tr>
      <w:tr>
        <w:tc>
          <w:tcPr>
            <w:tcW w:type="dxa" w:w="1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 394</w:t>
            </w:r>
          </w:p>
        </w:tc>
        <w:tc>
          <w:tcPr>
            <w:tcW w:type="dxa" w:w="3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 mandataire rend les services promis dans les termes de la convention.</w:t>
            </w:r>
          </w:p>
        </w:tc>
        <w:tc>
          <w:tcPr>
            <w:tcW w:type="dxa" w:w="47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 travail demandé doit être rapproché du mandat accepté.</w:t>
            </w:r>
          </w:p>
        </w:tc>
      </w:tr>
      <w:tr>
        <w:tc>
          <w:tcPr>
            <w:tcW w:type="dxa" w:w="13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 397</w:t>
            </w:r>
          </w:p>
        </w:tc>
        <w:tc>
          <w:tcPr>
            <w:tcW w:type="dxa" w:w="33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Les instructions du mandant encadrent l’exécution; un écart ne se décide pas silencieusement.</w:t>
            </w:r>
          </w:p>
        </w:tc>
        <w:tc>
          <w:tcPr>
            <w:tcW w:type="dxa" w:w="47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Toute instruction ambiguë, impossible ou risquée est confirmée et escaladée.</w:t>
            </w:r>
          </w:p>
        </w:tc>
      </w:tr>
      <w:tr>
        <w:tc>
          <w:tcPr>
            <w:tcW w:type="dxa" w:w="1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 398 al. 2</w:t>
            </w:r>
          </w:p>
        </w:tc>
        <w:tc>
          <w:tcPr>
            <w:tcW w:type="dxa" w:w="3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 mandat doit être exécuté de manière bonne et fidèle.</w:t>
            </w:r>
          </w:p>
        </w:tc>
        <w:tc>
          <w:tcPr>
            <w:tcW w:type="dxa" w:w="47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 collaborateur applique les contrôles adaptés et ne masque pas une incertitude.</w:t>
            </w:r>
          </w:p>
        </w:tc>
      </w:tr>
      <w:tr>
        <w:tc>
          <w:tcPr>
            <w:tcW w:type="dxa" w:w="13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 400</w:t>
            </w:r>
          </w:p>
        </w:tc>
        <w:tc>
          <w:tcPr>
            <w:tcW w:type="dxa" w:w="33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 mandataire rend compte de sa gestion et restitue ce qu’il a reçu dans ce cadre.</w:t>
            </w:r>
          </w:p>
        </w:tc>
        <w:tc>
          <w:tcPr>
            <w:tcW w:type="dxa" w:w="47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 dossier doit permettre de retracer travaux, décisions, pièces et points ouverts.</w:t>
            </w:r>
          </w:p>
        </w:tc>
      </w:tr>
      <w:tr>
        <w:tc>
          <w:tcPr>
            <w:tcW w:type="dxa" w:w="1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 716a / 810</w:t>
            </w:r>
          </w:p>
        </w:tc>
        <w:tc>
          <w:tcPr>
            <w:tcW w:type="dxa" w:w="3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Pour une SA ou une Sàrl, certaines responsabilités d’organisation comptable et financière restent auprès des organes.</w:t>
            </w:r>
          </w:p>
        </w:tc>
        <w:tc>
          <w:tcPr>
            <w:tcW w:type="dxa" w:w="47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Externaliser ne signifie pas transférer toute responsabilité au cabinet.</w:t>
            </w:r>
          </w:p>
        </w:tc>
      </w:tr>
      <w:tr>
        <w:tc>
          <w:tcPr>
            <w:tcW w:type="dxa" w:w="13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 957 / 957a</w:t>
            </w:r>
          </w:p>
        </w:tc>
        <w:tc>
          <w:tcPr>
            <w:tcW w:type="dxa" w:w="33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L’entreprise doit tenir une comptabilité adaptée, complète, fidèle et vérifiable.</w:t>
            </w:r>
          </w:p>
        </w:tc>
        <w:tc>
          <w:tcPr>
            <w:tcW w:type="dxa" w:w="47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 mandat doit préciser qui produit, contrôle, approuve et conserve les éléments.</w:t>
            </w:r>
          </w:p>
        </w:tc>
      </w:tr>
      <w:tr>
        <w:tc>
          <w:tcPr>
            <w:tcW w:type="dxa" w:w="1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 958f</w:t>
            </w:r>
          </w:p>
        </w:tc>
        <w:tc>
          <w:tcPr>
            <w:tcW w:type="dxa" w:w="3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Les livres et pièces comptables sont en principe conservés dix ans dès la fin de l’exercice.</w:t>
            </w:r>
          </w:p>
        </w:tc>
        <w:tc>
          <w:tcPr>
            <w:tcW w:type="dxa" w:w="47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 dossier permanent précise l’archivage, les formats, les accès et la restitution.</w:t>
            </w:r>
          </w:p>
        </w:tc>
      </w:tr>
    </w:tbl>
    <w:p>
      <w:pPr>
        <w:spacing w:after="40"/>
      </w:pPr>
    </w:p>
    <w:p>
      <w:pPr>
        <w:pStyle w:val="Callout"/>
        <w:spacing w:before="80" w:after="160" w:line="300" w:lineRule="auto"/>
        <w:shd w:fill="EAF1F5"/>
        <w:keepLines/>
        <w:pBdr>
          <w:top w:val="single" w:sz="4" w:space="3" w:color="D8E1E3"/>
          <w:left w:val="single" w:sz="4" w:space="3" w:color="D8E1E3"/>
          <w:bottom w:val="single" w:sz="4" w:space="3" w:color="D8E1E3"/>
          <w:right w:val="single" w:sz="4" w:space="3" w:color="D8E1E3"/>
        </w:pBdr>
        <w:ind w:left="110" w:right="110"/>
      </w:pPr>
      <w:r>
        <w:rPr>
          <w:rFonts w:ascii="Calibri" w:hAnsi="Calibri"/>
          <w:b/>
          <w:i w:val="0"/>
          <w:color w:val="153E57"/>
          <w:sz w:val="20"/>
        </w:rPr>
        <w:t xml:space="preserve">DISTINCTION ESSENTIELLE  </w:t>
      </w:r>
      <w:r>
        <w:rPr>
          <w:rFonts w:ascii="Calibri" w:hAnsi="Calibri"/>
          <w:b w:val="0"/>
          <w:i w:val="0"/>
          <w:color w:val="26343A"/>
          <w:sz w:val="21"/>
        </w:rPr>
        <w:t>Le client et ses organes conservent leurs obligations propres. La fiduciaire assume, de son côté, la responsabilité liée à la bonne exécution des prestations effectivement confiées. Une clause vague ne doit pas servir à effacer cette distinction.</w:t>
      </w:r>
    </w:p>
    <w:p>
      <w:pPr>
        <w:pStyle w:val="Heading1"/>
      </w:pPr>
      <w:r>
        <w:t>4. Les quatre acteurs du circuit</w:t>
      </w:r>
    </w:p>
    <w:tbl>
      <w:tblPr>
        <w:tblStyle w:val="TableGrid"/>
        <w:tblW w:type="dxa" w:w="9360"/>
        <w:tblLayout w:type="fixed"/>
        <w:tblLook w:firstColumn="1" w:firstRow="1" w:lastColumn="0" w:lastRow="0" w:noHBand="0" w:noVBand="1" w:val="04A0"/>
        <w:tblInd w:w="120" w:type="dxa"/>
      </w:tblPr>
      <w:tblGrid>
        <w:gridCol w:w="1600"/>
        <w:gridCol w:w="3980"/>
        <w:gridCol w:w="3780"/>
      </w:tblGrid>
      <w:tr>
        <w:trPr>
          <w:tblHeader w:val="true"/>
        </w:trPr>
        <w:tc>
          <w:tcPr>
            <w:tcW w:type="dxa" w:w="16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Acteur</w:t>
            </w:r>
          </w:p>
        </w:tc>
        <w:tc>
          <w:tcPr>
            <w:tcW w:type="dxa" w:w="398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Responsabilité opérationnelle</w:t>
            </w:r>
          </w:p>
        </w:tc>
        <w:tc>
          <w:tcPr>
            <w:tcW w:type="dxa" w:w="378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Ne doit pas être supposé</w:t>
            </w:r>
          </w:p>
        </w:tc>
      </w:tr>
      <w:tr>
        <w:tc>
          <w:tcPr>
            <w:tcW w:type="dxa" w:w="1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Client / organes</w:t>
            </w:r>
          </w:p>
        </w:tc>
        <w:tc>
          <w:tcPr>
            <w:tcW w:type="dxa" w:w="398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Fournir des informations complètes, valider les décisions et organiser la comptabilité de l’entité.</w:t>
            </w:r>
          </w:p>
        </w:tc>
        <w:tc>
          <w:tcPr>
            <w:tcW w:type="dxa" w:w="378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Que l’envoi de documents vaut approbation de toute déclaration.</w:t>
            </w:r>
          </w:p>
        </w:tc>
      </w:tr>
      <w:tr>
        <w:tc>
          <w:tcPr>
            <w:tcW w:type="dxa" w:w="1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Contact autorisé</w:t>
            </w:r>
          </w:p>
        </w:tc>
        <w:tc>
          <w:tcPr>
            <w:tcW w:type="dxa" w:w="398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Transmettre les pièces et instructions dans les limites de sa délégation.</w:t>
            </w:r>
          </w:p>
        </w:tc>
        <w:tc>
          <w:tcPr>
            <w:tcW w:type="dxa" w:w="378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Qu’un accès au portail ou une adresse e-mail donne tout pouvoir.</w:t>
            </w:r>
          </w:p>
        </w:tc>
      </w:tr>
      <w:tr>
        <w:tc>
          <w:tcPr>
            <w:tcW w:type="dxa" w:w="1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Assistant·e</w:t>
            </w:r>
          </w:p>
        </w:tc>
        <w:tc>
          <w:tcPr>
            <w:tcW w:type="dxa" w:w="398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Préparer, contrôler avec checklist, documenter et escalader.</w:t>
            </w:r>
          </w:p>
        </w:tc>
        <w:tc>
          <w:tcPr>
            <w:tcW w:type="dxa" w:w="378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Qu’il ou elle peut accepter seul une extension ou signer au nom du client.</w:t>
            </w:r>
          </w:p>
        </w:tc>
      </w:tr>
      <w:tr>
        <w:tc>
          <w:tcPr>
            <w:tcW w:type="dxa" w:w="1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Responsable de mandat</w:t>
            </w:r>
          </w:p>
        </w:tc>
        <w:tc>
          <w:tcPr>
            <w:tcW w:type="dxa" w:w="398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Accepter le périmètre, arbitrer les risques, valider les travaux sensibles et la communication.</w:t>
            </w:r>
          </w:p>
        </w:tc>
        <w:tc>
          <w:tcPr>
            <w:tcW w:type="dxa" w:w="378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Que la simple présence de ses initiales remplace une revue réelle.</w:t>
            </w:r>
          </w:p>
        </w:tc>
      </w:tr>
    </w:tbl>
    <w:p>
      <w:pPr>
        <w:spacing w:after="40"/>
      </w:pPr>
    </w:p>
    <w:p>
      <w:pPr>
        <w:pStyle w:val="Heading1"/>
      </w:pPr>
      <w:r>
        <w:t>5. Lire un mandat en six dimensions</w:t>
      </w:r>
    </w:p>
    <w:p>
      <w:pPr>
        <w:pStyle w:val="Heading2"/>
      </w:pPr>
      <w:r>
        <w:t>1. Entité et période</w:t>
      </w:r>
    </w:p>
    <w:p>
      <w:r>
        <w:t>Raison sociale, forme, siège, IDE, exercice, date de début du mandat, reprise d’historique ou année courante.</w:t>
      </w:r>
    </w:p>
    <w:p>
      <w:pPr>
        <w:pStyle w:val="Heading2"/>
      </w:pPr>
      <w:r>
        <w:t>2. Prestations incluses</w:t>
      </w:r>
    </w:p>
    <w:p>
      <w:r>
        <w:t>Tenue, auxiliaires, rapprochements, TVA, paie, comptes annuels, fiscalité, reporting, paiements, correspondance autorités.</w:t>
      </w:r>
    </w:p>
    <w:p>
      <w:pPr>
        <w:pStyle w:val="Heading2"/>
      </w:pPr>
      <w:r>
        <w:t>3. Fréquence et livrables</w:t>
      </w:r>
    </w:p>
    <w:p>
      <w:r>
        <w:t>Mensuel, trimestriel ou annuel; balance, grand livre, décompte, fiches de salaire, tableau de bord, dossier de clôture.</w:t>
      </w:r>
    </w:p>
    <w:p>
      <w:pPr>
        <w:pStyle w:val="Heading2"/>
      </w:pPr>
      <w:r>
        <w:t>4. Responsabilités et validations</w:t>
      </w:r>
    </w:p>
    <w:p>
      <w:r>
        <w:t>Qui collecte, qui contrôle, qui approuve, qui signe, qui dépose, qui paie, qui conserve.</w:t>
      </w:r>
    </w:p>
    <w:p>
      <w:pPr>
        <w:pStyle w:val="Heading2"/>
      </w:pPr>
      <w:r>
        <w:t>5. Données, accès et canaux</w:t>
      </w:r>
    </w:p>
    <w:p>
      <w:r>
        <w:t>Logiciel, banque, portail AFC, caisse, paie, stockage, adresse autorisée, principe du moindre privilège.</w:t>
      </w:r>
    </w:p>
    <w:p>
      <w:pPr>
        <w:pStyle w:val="Heading2"/>
      </w:pPr>
      <w:r>
        <w:t>6. Exclusions et changements</w:t>
      </w:r>
    </w:p>
    <w:p>
      <w:r>
        <w:t>Conseil juridique, révision, fiscalité complexe, paiements, déclarations privées, travaux antérieurs, urgence ou reprise.</w:t>
      </w:r>
    </w:p>
    <w:p>
      <w:pPr>
        <w:pStyle w:val="Heading1"/>
      </w:pPr>
      <w:r>
        <w:t>6. Processus d’ouverture en huit étapes</w:t>
      </w:r>
    </w:p>
    <w:p>
      <w:pPr>
        <w:numPr>
          <w:ilvl w:val="0"/>
          <w:numId w:val="11"/>
        </w:numPr>
        <w:spacing w:before="0" w:after="80" w:line="300" w:lineRule="auto"/>
      </w:pPr>
      <w:r>
        <w:t>Vérifier l’existence de l’entité, son siège, ses organes et les pouvoirs publiés; conserver la date et la source de la vérification.</w:t>
      </w:r>
    </w:p>
    <w:p>
      <w:pPr>
        <w:numPr>
          <w:ilvl w:val="0"/>
          <w:numId w:val="11"/>
        </w:numPr>
        <w:spacing w:before="0" w:after="80" w:line="300" w:lineRule="auto"/>
      </w:pPr>
      <w:r>
        <w:t>Identifier la personne de contact, son rôle et le niveau d’instructions qu’elle peut donner; distinguer transmission de pièces et décision engageante.</w:t>
      </w:r>
    </w:p>
    <w:p>
      <w:pPr>
        <w:numPr>
          <w:ilvl w:val="0"/>
          <w:numId w:val="11"/>
        </w:numPr>
        <w:spacing w:before="0" w:after="80" w:line="300" w:lineRule="auto"/>
      </w:pPr>
      <w:r>
        <w:t>Lire la dernière version signée du mandat et relever inclusions, exclusions, fréquence, livrables, tarification des extensions et circuit d’approbation.</w:t>
      </w:r>
    </w:p>
    <w:p>
      <w:pPr>
        <w:numPr>
          <w:ilvl w:val="0"/>
          <w:numId w:val="11"/>
        </w:numPr>
        <w:spacing w:before="0" w:after="80" w:line="300" w:lineRule="auto"/>
      </w:pPr>
      <w:r>
        <w:t>Créer le dossier permanent: données juridiques, fiscales, sociales, bancaires, contractuelles, accès, décisions durables et historique des changements.</w:t>
      </w:r>
    </w:p>
    <w:p>
      <w:pPr>
        <w:numPr>
          <w:ilvl w:val="0"/>
          <w:numId w:val="11"/>
        </w:numPr>
        <w:spacing w:before="0" w:after="80" w:line="300" w:lineRule="auto"/>
      </w:pPr>
      <w:r>
        <w:t>Dresser l’inventaire des données reçues et manquantes. Une absence est qualifiée par impact, propriétaire et date requise.</w:t>
      </w:r>
    </w:p>
    <w:p>
      <w:pPr>
        <w:numPr>
          <w:ilvl w:val="0"/>
          <w:numId w:val="11"/>
        </w:numPr>
        <w:spacing w:before="0" w:after="80" w:line="300" w:lineRule="auto"/>
      </w:pPr>
      <w:r>
        <w:t>Construire le calendrier: échéances officielles à vérifier, délais internes, délai de remise par le client, responsable et dépendances.</w:t>
      </w:r>
    </w:p>
    <w:p>
      <w:pPr>
        <w:numPr>
          <w:ilvl w:val="0"/>
          <w:numId w:val="11"/>
        </w:numPr>
        <w:spacing w:before="0" w:after="80" w:line="300" w:lineRule="auto"/>
      </w:pPr>
      <w:r>
        <w:t>Classer les risques et demandes hors mandat. Toute opération sensible ou modification du périmètre va au responsable avant exécution.</w:t>
      </w:r>
    </w:p>
    <w:p>
      <w:pPr>
        <w:numPr>
          <w:ilvl w:val="0"/>
          <w:numId w:val="11"/>
        </w:numPr>
        <w:spacing w:before="0" w:after="80" w:line="300" w:lineRule="auto"/>
      </w:pPr>
      <w:r>
        <w:t>Émettre une fiche d’ouverture d’une page avec la décision proposée: GO, GO sous conditions ou NO-GO, puis obtenir une validation réelle et datée.</w:t>
      </w:r>
    </w:p>
    <w:p>
      <w:pPr>
        <w:pStyle w:val="Heading1"/>
      </w:pPr>
      <w:r>
        <w:t>7. Dossier permanent minimal</w:t>
      </w:r>
    </w:p>
    <w:tbl>
      <w:tblPr>
        <w:tblStyle w:val="TableGrid"/>
        <w:tblW w:type="dxa" w:w="9360"/>
        <w:tblLayout w:type="fixed"/>
        <w:tblLook w:firstColumn="1" w:firstRow="1" w:lastColumn="0" w:lastRow="0" w:noHBand="0" w:noVBand="1" w:val="04A0"/>
        <w:tblInd w:w="120" w:type="dxa"/>
      </w:tblPr>
      <w:tblGrid>
        <w:gridCol w:w="1600"/>
        <w:gridCol w:w="4620"/>
        <w:gridCol w:w="3140"/>
      </w:tblGrid>
      <w:tr>
        <w:trPr>
          <w:tblHeader w:val="true"/>
        </w:trPr>
        <w:tc>
          <w:tcPr>
            <w:tcW w:type="dxa" w:w="16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Bloc</w:t>
            </w:r>
          </w:p>
        </w:tc>
        <w:tc>
          <w:tcPr>
            <w:tcW w:type="dxa" w:w="462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Exemples de contenu</w:t>
            </w:r>
          </w:p>
        </w:tc>
        <w:tc>
          <w:tcPr>
            <w:tcW w:type="dxa" w:w="314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Contrôle</w:t>
            </w:r>
          </w:p>
        </w:tc>
      </w:tr>
      <w:tr>
        <w:tc>
          <w:tcPr>
            <w:tcW w:type="dxa" w:w="1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Juridique</w:t>
            </w:r>
          </w:p>
        </w:tc>
        <w:tc>
          <w:tcPr>
            <w:tcW w:type="dxa" w:w="462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Extrait RC, statuts si nécessaires, organes, pouvoirs, siège, exercice.</w:t>
            </w:r>
          </w:p>
        </w:tc>
        <w:tc>
          <w:tcPr>
            <w:tcW w:type="dxa" w:w="314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Document actuel, source et date.</w:t>
            </w:r>
          </w:p>
        </w:tc>
      </w:tr>
      <w:tr>
        <w:tc>
          <w:tcPr>
            <w:tcW w:type="dxa" w:w="1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Mandat</w:t>
            </w:r>
          </w:p>
        </w:tc>
        <w:tc>
          <w:tcPr>
            <w:tcW w:type="dxa" w:w="462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Version signée, annexes, avenants, grille tarifaire, exclusions.</w:t>
            </w:r>
          </w:p>
        </w:tc>
        <w:tc>
          <w:tcPr>
            <w:tcW w:type="dxa" w:w="314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Version unique identifiée et accessible.</w:t>
            </w:r>
          </w:p>
        </w:tc>
      </w:tr>
      <w:tr>
        <w:tc>
          <w:tcPr>
            <w:tcW w:type="dxa" w:w="1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Fiscal / TVA</w:t>
            </w:r>
          </w:p>
        </w:tc>
        <w:tc>
          <w:tcPr>
            <w:tcW w:type="dxa" w:w="462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IDE, statut TVA, méthode, périodicité, représentants, décisions.</w:t>
            </w:r>
          </w:p>
        </w:tc>
        <w:tc>
          <w:tcPr>
            <w:tcW w:type="dxa" w:w="314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Information confirmée par source ou document officiel.</w:t>
            </w:r>
          </w:p>
        </w:tc>
      </w:tr>
      <w:tr>
        <w:tc>
          <w:tcPr>
            <w:tcW w:type="dxa" w:w="1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Salaires</w:t>
            </w:r>
          </w:p>
        </w:tc>
        <w:tc>
          <w:tcPr>
            <w:tcW w:type="dxa" w:w="462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Existence d’employés, caisse AVS, assurances, LPP, impôt source.</w:t>
            </w:r>
          </w:p>
        </w:tc>
        <w:tc>
          <w:tcPr>
            <w:tcW w:type="dxa" w:w="314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Ne pas collecter de données inutiles si la paie est hors mandat.</w:t>
            </w:r>
          </w:p>
        </w:tc>
      </w:tr>
      <w:tr>
        <w:tc>
          <w:tcPr>
            <w:tcW w:type="dxa" w:w="1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Banques et caisse</w:t>
            </w:r>
          </w:p>
        </w:tc>
        <w:tc>
          <w:tcPr>
            <w:tcW w:type="dxa" w:w="462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IBAN, titulaires, devises, accès, droits, fréquence des relevés.</w:t>
            </w:r>
          </w:p>
        </w:tc>
        <w:tc>
          <w:tcPr>
            <w:tcW w:type="dxa" w:w="314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Aucun mot de passe personnel partagé.</w:t>
            </w:r>
          </w:p>
        </w:tc>
      </w:tr>
      <w:tr>
        <w:tc>
          <w:tcPr>
            <w:tcW w:type="dxa" w:w="1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Systèmes</w:t>
            </w:r>
          </w:p>
        </w:tc>
        <w:tc>
          <w:tcPr>
            <w:tcW w:type="dxa" w:w="462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Logiciel, plan comptable, modules, exports, droits, propriétaire des données.</w:t>
            </w:r>
          </w:p>
        </w:tc>
        <w:tc>
          <w:tcPr>
            <w:tcW w:type="dxa" w:w="314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Accès nominatif et révocable.</w:t>
            </w:r>
          </w:p>
        </w:tc>
      </w:tr>
      <w:tr>
        <w:tc>
          <w:tcPr>
            <w:tcW w:type="dxa" w:w="1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Calendrier</w:t>
            </w:r>
          </w:p>
        </w:tc>
        <w:tc>
          <w:tcPr>
            <w:tcW w:type="dxa" w:w="462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Clôture, TVA, paie, déclarations, réunions, livrables.</w:t>
            </w:r>
          </w:p>
        </w:tc>
        <w:tc>
          <w:tcPr>
            <w:tcW w:type="dxa" w:w="314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Délai officiel et délai interne séparés.</w:t>
            </w:r>
          </w:p>
        </w:tc>
      </w:tr>
      <w:tr>
        <w:tc>
          <w:tcPr>
            <w:tcW w:type="dxa" w:w="1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Décisions</w:t>
            </w:r>
          </w:p>
        </w:tc>
        <w:tc>
          <w:tcPr>
            <w:tcW w:type="dxa" w:w="462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Choix comptables durables, confirmations client, exceptions, risques acceptés.</w:t>
            </w:r>
          </w:p>
        </w:tc>
        <w:tc>
          <w:tcPr>
            <w:tcW w:type="dxa" w:w="314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Auteur, date, source et approbation.</w:t>
            </w:r>
          </w:p>
        </w:tc>
      </w:tr>
    </w:tbl>
    <w:p>
      <w:pPr>
        <w:spacing w:after="40"/>
      </w:pPr>
    </w:p>
    <w:p>
      <w:pPr>
        <w:pStyle w:val="Heading1"/>
      </w:pPr>
      <w:r>
        <w:t>8. Protection des données dès l’ouverture</w:t>
      </w:r>
    </w:p>
    <w:p>
      <w:r>
        <w:t>L’ouverture d’un mandat est déjà un traitement de données personnelles. Le périmètre contractuel détermine quelles données sont nécessaires. Si la paie est exclue, le cabinet ne collecte pas par anticipation des certificats médicaux, coordonnées privées ou autres données de salariés simplement parce qu’une extension est envisageable. Les accès sont nominatifs, limités au rôle, révisables et supprimés lorsque le besoin disparaît.</w:t>
      </w:r>
    </w:p>
    <w:tbl>
      <w:tblPr>
        <w:tblStyle w:val="TableGrid"/>
        <w:tblW w:type="dxa" w:w="9360"/>
        <w:tblLayout w:type="fixed"/>
        <w:tblLook w:firstColumn="1" w:firstRow="1" w:lastColumn="0" w:lastRow="0" w:noHBand="0" w:noVBand="1" w:val="04A0"/>
        <w:tblInd w:w="120" w:type="dxa"/>
      </w:tblPr>
      <w:tblGrid>
        <w:gridCol w:w="2100"/>
        <w:gridCol w:w="3740"/>
        <w:gridCol w:w="3520"/>
      </w:tblGrid>
      <w:tr>
        <w:trPr>
          <w:tblHeader w:val="true"/>
        </w:trPr>
        <w:tc>
          <w:tcPr>
            <w:tcW w:type="dxa" w:w="21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Contrôle LPD</w:t>
            </w:r>
          </w:p>
        </w:tc>
        <w:tc>
          <w:tcPr>
            <w:tcW w:type="dxa" w:w="374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Question pratique</w:t>
            </w:r>
          </w:p>
        </w:tc>
        <w:tc>
          <w:tcPr>
            <w:tcW w:type="dxa" w:w="352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Trace attendue</w:t>
            </w:r>
          </w:p>
        </w:tc>
      </w:tr>
      <w:tr>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Finalité et proportionnalité</w:t>
            </w:r>
          </w:p>
        </w:tc>
        <w:tc>
          <w:tcPr>
            <w:tcW w:type="dxa" w:w="374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La donnée est-elle nécessaire à une prestation acceptée aujourd’hui?</w:t>
            </w:r>
          </w:p>
        </w:tc>
        <w:tc>
          <w:tcPr>
            <w:tcW w:type="dxa" w:w="352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Champ du mandat et justification de la collecte.</w:t>
            </w:r>
          </w:p>
        </w:tc>
      </w:tr>
      <w:tr>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Protection par défaut</w:t>
            </w:r>
          </w:p>
        </w:tc>
        <w:tc>
          <w:tcPr>
            <w:tcW w:type="dxa" w:w="374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Les droits sont-ils limités au minimum requis?</w:t>
            </w:r>
          </w:p>
        </w:tc>
        <w:tc>
          <w:tcPr>
            <w:tcW w:type="dxa" w:w="352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Matrice d’accès, propriétaire, date de création et révocation.</w:t>
            </w:r>
          </w:p>
        </w:tc>
      </w:tr>
      <w:tr>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Sécurité</w:t>
            </w:r>
          </w:p>
        </w:tc>
        <w:tc>
          <w:tcPr>
            <w:tcW w:type="dxa" w:w="374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Comment prévenir accès indu, perte, altération ou envoi erroné?</w:t>
            </w:r>
          </w:p>
        </w:tc>
        <w:tc>
          <w:tcPr>
            <w:tcW w:type="dxa" w:w="352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Mesures techniques et organisationnelles applicables.</w:t>
            </w:r>
          </w:p>
        </w:tc>
      </w:tr>
      <w:tr>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Sous-traitance / cloud</w:t>
            </w:r>
          </w:p>
        </w:tc>
        <w:tc>
          <w:tcPr>
            <w:tcW w:type="dxa" w:w="374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Qui traite, où, avec quels sous-traitants ultérieurs et garanties?</w:t>
            </w:r>
          </w:p>
        </w:tc>
        <w:tc>
          <w:tcPr>
            <w:tcW w:type="dxa" w:w="352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Contrat, pays de traitement, contrôles et décision du cabinet.</w:t>
            </w:r>
          </w:p>
        </w:tc>
      </w:tr>
      <w:tr>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Incident</w:t>
            </w:r>
          </w:p>
        </w:tc>
        <w:tc>
          <w:tcPr>
            <w:tcW w:type="dxa" w:w="374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Qui alerter et comment préserver les faits?</w:t>
            </w:r>
          </w:p>
        </w:tc>
        <w:tc>
          <w:tcPr>
            <w:tcW w:type="dxa" w:w="352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Journal d’incident et escalade immédiate selon la procédure LPD.</w:t>
            </w:r>
          </w:p>
        </w:tc>
      </w:tr>
    </w:tbl>
    <w:p>
      <w:pPr>
        <w:spacing w:after="40"/>
      </w:pPr>
    </w:p>
    <w:p>
      <w:pPr>
        <w:pStyle w:val="Callout"/>
        <w:spacing w:before="80" w:after="160" w:line="300" w:lineRule="auto"/>
        <w:shd w:fill="EAF1F5"/>
        <w:keepLines/>
        <w:pBdr>
          <w:top w:val="single" w:sz="4" w:space="3" w:color="D8E1E3"/>
          <w:left w:val="single" w:sz="4" w:space="3" w:color="D8E1E3"/>
          <w:bottom w:val="single" w:sz="4" w:space="3" w:color="D8E1E3"/>
          <w:right w:val="single" w:sz="4" w:space="3" w:color="D8E1E3"/>
        </w:pBdr>
        <w:ind w:left="110" w:right="110"/>
      </w:pPr>
      <w:r>
        <w:rPr>
          <w:rFonts w:ascii="Calibri" w:hAnsi="Calibri"/>
          <w:b/>
          <w:i w:val="0"/>
          <w:color w:val="153E57"/>
          <w:sz w:val="20"/>
        </w:rPr>
        <w:t xml:space="preserve">RÉFLEXE DONNÉES  </w:t>
      </w:r>
      <w:r>
        <w:rPr>
          <w:rFonts w:ascii="Calibri" w:hAnsi="Calibri"/>
          <w:b w:val="0"/>
          <w:i w:val="0"/>
          <w:color w:val="26343A"/>
          <w:sz w:val="21"/>
        </w:rPr>
        <w:t>Ne pas collecter plus tôt, plus largement ou plus longtemps que nécessaire. Une erreur d’envoi, un accès indu ou une perte de données est immédiatement contenue et escaladée; le junior ne décide pas seul d’une annonce au PFPDT.</w:t>
      </w:r>
    </w:p>
    <w:p>
      <w:pPr>
        <w:pStyle w:val="Heading1"/>
      </w:pPr>
      <w:r>
        <w:t>9. Gérer les instructions et le hors mandat</w:t>
      </w:r>
    </w:p>
    <w:p>
      <w:r>
        <w:t>Une instruction orale ou un message urgent n’est pas ignoré, mais il n’est pas non plus exécuté mécaniquement. La bonne réaction comporte quatre verbes: recevoir, qualifier, confirmer, valider.</w:t>
      </w:r>
    </w:p>
    <w:tbl>
      <w:tblPr>
        <w:tblStyle w:val="TableGrid"/>
        <w:tblW w:type="dxa" w:w="9360"/>
        <w:tblLayout w:type="fixed"/>
        <w:tblLook w:firstColumn="1" w:firstRow="1" w:lastColumn="0" w:lastRow="0" w:noHBand="0" w:noVBand="1" w:val="04A0"/>
        <w:tblInd w:w="120" w:type="dxa"/>
      </w:tblPr>
      <w:tblGrid>
        <w:gridCol w:w="1500"/>
        <w:gridCol w:w="3860"/>
        <w:gridCol w:w="4000"/>
      </w:tblGrid>
      <w:tr>
        <w:trPr>
          <w:tblHeader w:val="true"/>
        </w:trPr>
        <w:tc>
          <w:tcPr>
            <w:tcW w:type="dxa" w:w="15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Statut</w:t>
            </w:r>
          </w:p>
        </w:tc>
        <w:tc>
          <w:tcPr>
            <w:tcW w:type="dxa" w:w="386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Sens</w:t>
            </w:r>
          </w:p>
        </w:tc>
        <w:tc>
          <w:tcPr>
            <w:tcW w:type="dxa" w:w="40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Action</w:t>
            </w:r>
          </w:p>
        </w:tc>
      </w:tr>
      <w:tr>
        <w:tc>
          <w:tcPr>
            <w:tcW w:type="dxa" w:w="15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Inclus</w:t>
            </w:r>
          </w:p>
        </w:tc>
        <w:tc>
          <w:tcPr>
            <w:tcW w:type="dxa" w:w="38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Prévu clairement par le mandat et compatible avec les pouvoirs.</w:t>
            </w:r>
          </w:p>
        </w:tc>
        <w:tc>
          <w:tcPr>
            <w:tcW w:type="dxa" w:w="40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Planifier et exécuter selon le contrôle prévu.</w:t>
            </w:r>
          </w:p>
        </w:tc>
      </w:tr>
      <w:tr>
        <w:tc>
          <w:tcPr>
            <w:tcW w:type="dxa" w:w="15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À confirmer</w:t>
            </w:r>
          </w:p>
        </w:tc>
        <w:tc>
          <w:tcPr>
            <w:tcW w:type="dxa" w:w="38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Probablement inclus, mais période, livrable ou validation ambiguë.</w:t>
            </w:r>
          </w:p>
        </w:tc>
        <w:tc>
          <w:tcPr>
            <w:tcW w:type="dxa" w:w="40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Obtenir une confirmation écrite avant l’acte engageant.</w:t>
            </w:r>
          </w:p>
        </w:tc>
      </w:tr>
      <w:tr>
        <w:tc>
          <w:tcPr>
            <w:tcW w:type="dxa" w:w="15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Hors mandat</w:t>
            </w:r>
          </w:p>
        </w:tc>
        <w:tc>
          <w:tcPr>
            <w:tcW w:type="dxa" w:w="38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Exclu ou absent du périmètre convenu.</w:t>
            </w:r>
          </w:p>
        </w:tc>
        <w:tc>
          <w:tcPr>
            <w:tcW w:type="dxa" w:w="40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Chiffrer, vérifier la compétence et faire accepter un avenant ou ordre complémentaire.</w:t>
            </w:r>
          </w:p>
        </w:tc>
      </w:tr>
      <w:tr>
        <w:tc>
          <w:tcPr>
            <w:tcW w:type="dxa" w:w="15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À escalader</w:t>
            </w:r>
          </w:p>
        </w:tc>
        <w:tc>
          <w:tcPr>
            <w:tcW w:type="dxa" w:w="38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Risque juridique, fiscal, réputationnel, données sensibles, délai critique ou conflit d’instructions.</w:t>
            </w:r>
          </w:p>
        </w:tc>
        <w:tc>
          <w:tcPr>
            <w:tcW w:type="dxa" w:w="40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Suspendre l’acte sensible et transmettre les faits au responsable.</w:t>
            </w:r>
          </w:p>
        </w:tc>
      </w:tr>
    </w:tbl>
    <w:p>
      <w:pPr>
        <w:spacing w:after="40"/>
      </w:pPr>
    </w:p>
    <w:p>
      <w:pPr>
        <w:pStyle w:val="Callout"/>
        <w:spacing w:before="80" w:after="160" w:line="300" w:lineRule="auto"/>
        <w:shd w:fill="FFF5DC"/>
        <w:keepLines/>
        <w:pBdr>
          <w:top w:val="single" w:sz="4" w:space="3" w:color="D8E1E3"/>
          <w:left w:val="single" w:sz="4" w:space="3" w:color="D8E1E3"/>
          <w:bottom w:val="single" w:sz="4" w:space="3" w:color="D8E1E3"/>
          <w:right w:val="single" w:sz="4" w:space="3" w:color="D8E1E3"/>
        </w:pBdr>
        <w:ind w:left="110" w:right="110"/>
      </w:pPr>
      <w:r>
        <w:rPr>
          <w:rFonts w:ascii="Calibri" w:hAnsi="Calibri"/>
          <w:b/>
          <w:i w:val="0"/>
          <w:color w:val="153E57"/>
          <w:sz w:val="20"/>
        </w:rPr>
        <w:t xml:space="preserve">FORMULATION UTILE  </w:t>
      </w:r>
      <w:r>
        <w:rPr>
          <w:rFonts w:ascii="Calibri" w:hAnsi="Calibri"/>
          <w:b w:val="0"/>
          <w:i w:val="0"/>
          <w:color w:val="26343A"/>
          <w:sz w:val="21"/>
        </w:rPr>
        <w:t>«La demande est bien reçue. Le mandat actuel couvre A et B, mais pas C. Avant toute exécution de C, une confirmation du périmètre, des pouvoirs et des conditions d’intervention est nécessaire.»</w:t>
      </w:r>
    </w:p>
    <w:p>
      <w:r>
        <w:t>L’exécution de paiements pour des tiers mérite un contrôle renforcé. Selon la configuration concrète, une procuration bancaire et un pouvoir de disposition sur des valeurs de tiers peuvent appeler une analyse au regard de la LBA, de l’OBA (notamment art. 4 et 7) et de la pratique FINMA. Au stade TC01, l’assistant·e ne tranche pas cette qualification: il ou elle bloque l’exécution et transmet au responsable le mandat, les pouvoirs, le flux envisagé, la fréquence, les accès, la séparation des tâches et les contrôles.</w:t>
      </w:r>
    </w:p>
    <w:p>
      <w:pPr>
        <w:pStyle w:val="Callout"/>
        <w:spacing w:before="80" w:after="160" w:line="300" w:lineRule="auto"/>
        <w:shd w:fill="FDEDEC"/>
        <w:keepLines/>
        <w:pBdr>
          <w:top w:val="single" w:sz="4" w:space="3" w:color="D8E1E3"/>
          <w:left w:val="single" w:sz="4" w:space="3" w:color="D8E1E3"/>
          <w:bottom w:val="single" w:sz="4" w:space="3" w:color="D8E1E3"/>
          <w:right w:val="single" w:sz="4" w:space="3" w:color="D8E1E3"/>
        </w:pBdr>
        <w:ind w:left="110" w:right="110"/>
      </w:pPr>
      <w:r>
        <w:rPr>
          <w:rFonts w:ascii="Calibri" w:hAnsi="Calibri"/>
          <w:b/>
          <w:i w:val="0"/>
          <w:color w:val="9B1C1C"/>
          <w:sz w:val="20"/>
        </w:rPr>
        <w:t xml:space="preserve">PAIEMENTS  </w:t>
      </w:r>
      <w:r>
        <w:rPr>
          <w:rFonts w:ascii="Calibri" w:hAnsi="Calibri"/>
          <w:b w:val="0"/>
          <w:i w:val="0"/>
          <w:color w:val="26343A"/>
          <w:sz w:val="21"/>
        </w:rPr>
        <w:t>Avant toute acceptation: vérifier le périmètre contractuel, les pouvoirs, la double validation, la sécurité des accès, la politique du cabinet et l’éventuel régime réglementaire. Une procuration ne suffit pas, à elle seule, à rendre le service acceptable.</w:t>
      </w:r>
    </w:p>
    <w:p>
      <w:pPr>
        <w:pStyle w:val="Heading1"/>
      </w:pPr>
      <w:r>
        <w:t>10. Calendrier et gestion du risque de délai</w:t>
      </w:r>
    </w:p>
    <w:p>
      <w:r>
        <w:t>Une date finale ne suffit pas. Le calendrier doit indiquer la date réglementaire à vérifier, la date interne de revue, la date limite de réception des pièces, la personne responsable, les dépendances et le plan d’alerte. Les hypothèses ne doivent jamais être transformées en dates certaines.</w:t>
      </w:r>
    </w:p>
    <w:p>
      <w:r>
        <w:t>Pour un décompte TVA trimestriel, les art. 71 al. 1 et 86 al. 1 LTVA imposent en principe remise et paiement dans les 60 jours suivant la fin de la période. Dans le cas T2 2026, le 60e jour tombe le samedi 29 août; l’art. 20 al. 3 PA reporte le terme au lundi 31 août 2026. Le dossier doit encore distinguer cette échéance légale, la date souhaitée par le client, la date de réception des pièces, la revue et le dépôt interne. Une prolongation de remise ne doit jamais être présentée comme un report automatique du paiement sans confirmation distincte.</w:t>
      </w:r>
    </w:p>
    <w:p>
      <w:pPr>
        <w:numPr>
          <w:ilvl w:val="0"/>
          <w:numId w:val="12"/>
        </w:numPr>
        <w:spacing w:before="0" w:after="80" w:line="300" w:lineRule="auto"/>
      </w:pPr>
      <w:r>
        <w:t>Vert: mandat et pouvoirs clairs; pièces essentielles disponibles; marge de revue suffisante.</w:t>
      </w:r>
    </w:p>
    <w:p>
      <w:pPr>
        <w:numPr>
          <w:ilvl w:val="0"/>
          <w:numId w:val="12"/>
        </w:numPr>
        <w:spacing w:before="0" w:after="80" w:line="300" w:lineRule="auto"/>
      </w:pPr>
      <w:r>
        <w:t>Orange: pièce ou confirmation manquante, mais action corrective réaliste avant la revue.</w:t>
      </w:r>
    </w:p>
    <w:p>
      <w:pPr>
        <w:numPr>
          <w:ilvl w:val="0"/>
          <w:numId w:val="12"/>
        </w:numPr>
        <w:spacing w:before="0" w:after="80" w:line="300" w:lineRule="auto"/>
      </w:pPr>
      <w:r>
        <w:t>Rouge: acte engageant sans pouvoir, échéance menacée, incohérence majeure, accès non sécurisé ou prestation sensible hors mandat.</w:t>
      </w:r>
    </w:p>
    <w:p>
      <w:pPr>
        <w:pStyle w:val="Heading1"/>
      </w:pPr>
      <w:r>
        <w:t>11. Exemple guidé</w:t>
      </w:r>
    </w:p>
    <w:p>
      <w:r>
        <w:t>Une Sàrl mandate le cabinet pour la tenue mensuelle, les rapprochements et la TVA trimestrielle. La paie et les paiements sont exclus. Un associé sans pouvoir publié demande pourtant deux fiches de salaire, l’exécution d’un fichier de paiements et le dépôt immédiat du décompte TVA. Le relevé bancaire du dernier mois manque.</w:t>
      </w:r>
    </w:p>
    <w:tbl>
      <w:tblPr>
        <w:tblStyle w:val="TableGrid"/>
        <w:tblW w:type="dxa" w:w="9360"/>
        <w:tblLayout w:type="fixed"/>
        <w:tblLook w:firstColumn="1" w:firstRow="1" w:lastColumn="0" w:lastRow="0" w:noHBand="0" w:noVBand="1" w:val="04A0"/>
        <w:tblInd w:w="120" w:type="dxa"/>
      </w:tblPr>
      <w:tblGrid>
        <w:gridCol w:w="2500"/>
        <w:gridCol w:w="2600"/>
        <w:gridCol w:w="4260"/>
      </w:tblGrid>
      <w:tr>
        <w:trPr>
          <w:tblHeader w:val="true"/>
        </w:trPr>
        <w:tc>
          <w:tcPr>
            <w:tcW w:type="dxa" w:w="25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Demande</w:t>
            </w:r>
          </w:p>
        </w:tc>
        <w:tc>
          <w:tcPr>
            <w:tcW w:type="dxa" w:w="26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Qualification</w:t>
            </w:r>
          </w:p>
        </w:tc>
        <w:tc>
          <w:tcPr>
            <w:tcW w:type="dxa" w:w="426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Décision préparée</w:t>
            </w:r>
          </w:p>
        </w:tc>
      </w:tr>
      <w:tr>
        <w:tc>
          <w:tcPr>
            <w:tcW w:type="dxa" w:w="25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Tenue mensuelle</w:t>
            </w:r>
          </w:p>
        </w:tc>
        <w:tc>
          <w:tcPr>
            <w:tcW w:type="dxa" w:w="2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Incluse</w:t>
            </w:r>
          </w:p>
        </w:tc>
        <w:tc>
          <w:tcPr>
            <w:tcW w:type="dxa" w:w="42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Démarrer les travaux non sensibles sur pièces disponibles.</w:t>
            </w:r>
          </w:p>
        </w:tc>
      </w:tr>
      <w:tr>
        <w:tc>
          <w:tcPr>
            <w:tcW w:type="dxa" w:w="25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Décompte TVA</w:t>
            </w:r>
          </w:p>
        </w:tc>
        <w:tc>
          <w:tcPr>
            <w:tcW w:type="dxa" w:w="2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Inclus, mais acte à sécuriser</w:t>
            </w:r>
          </w:p>
        </w:tc>
        <w:tc>
          <w:tcPr>
            <w:tcW w:type="dxa" w:w="42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Préparer seulement; confirmer données, validation et personne habilitée avant dépôt.</w:t>
            </w:r>
          </w:p>
        </w:tc>
      </w:tr>
      <w:tr>
        <w:tc>
          <w:tcPr>
            <w:tcW w:type="dxa" w:w="25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Deux fiches de salaire</w:t>
            </w:r>
          </w:p>
        </w:tc>
        <w:tc>
          <w:tcPr>
            <w:tcW w:type="dxa" w:w="2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Hors mandat</w:t>
            </w:r>
          </w:p>
        </w:tc>
        <w:tc>
          <w:tcPr>
            <w:tcW w:type="dxa" w:w="42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Soumettre extension et capacité payroll au responsable.</w:t>
            </w:r>
          </w:p>
        </w:tc>
      </w:tr>
      <w:tr>
        <w:tc>
          <w:tcPr>
            <w:tcW w:type="dxa" w:w="25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Exécuter les paiements</w:t>
            </w:r>
          </w:p>
        </w:tc>
        <w:tc>
          <w:tcPr>
            <w:tcW w:type="dxa" w:w="2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Exclu et sensible</w:t>
            </w:r>
          </w:p>
        </w:tc>
        <w:tc>
          <w:tcPr>
            <w:tcW w:type="dxa" w:w="42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Ne pas exécuter; vérifier pouvoirs, contrôles et éventuel avenant.</w:t>
            </w:r>
          </w:p>
        </w:tc>
      </w:tr>
      <w:tr>
        <w:tc>
          <w:tcPr>
            <w:tcW w:type="dxa" w:w="25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Relevé bancaire manquant</w:t>
            </w:r>
          </w:p>
        </w:tc>
        <w:tc>
          <w:tcPr>
            <w:tcW w:type="dxa" w:w="2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Condition bloquante pour rapprochement</w:t>
            </w:r>
          </w:p>
        </w:tc>
        <w:tc>
          <w:tcPr>
            <w:tcW w:type="dxa" w:w="42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Demande priorisée avec date et alerte si non reçu.</w:t>
            </w:r>
          </w:p>
        </w:tc>
      </w:tr>
    </w:tbl>
    <w:p>
      <w:pPr>
        <w:spacing w:after="40"/>
      </w:pPr>
    </w:p>
    <w:p>
      <w:pPr>
        <w:pStyle w:val="Callout"/>
        <w:spacing w:before="80" w:after="160" w:line="300" w:lineRule="auto"/>
        <w:shd w:fill="EAF6EF"/>
        <w:keepLines/>
        <w:pBdr>
          <w:top w:val="single" w:sz="4" w:space="3" w:color="D8E1E3"/>
          <w:left w:val="single" w:sz="4" w:space="3" w:color="D8E1E3"/>
          <w:bottom w:val="single" w:sz="4" w:space="3" w:color="D8E1E3"/>
          <w:right w:val="single" w:sz="4" w:space="3" w:color="D8E1E3"/>
        </w:pBdr>
        <w:ind w:left="110" w:right="110"/>
      </w:pPr>
      <w:r>
        <w:rPr>
          <w:rFonts w:ascii="Calibri" w:hAnsi="Calibri"/>
          <w:b/>
          <w:i w:val="0"/>
          <w:color w:val="153E57"/>
          <w:sz w:val="20"/>
        </w:rPr>
        <w:t xml:space="preserve">DÉCISION  </w:t>
      </w:r>
      <w:r>
        <w:rPr>
          <w:rFonts w:ascii="Calibri" w:hAnsi="Calibri"/>
          <w:b w:val="0"/>
          <w:i w:val="0"/>
          <w:color w:val="26343A"/>
          <w:sz w:val="21"/>
        </w:rPr>
        <w:t>GO sous conditions pour la préparation des travaux inclus. Aucun dépôt, paiement ni production de paie avant résolution des pouvoirs, pièces et extensions.</w:t>
      </w:r>
    </w:p>
    <w:p>
      <w:pPr>
        <w:pStyle w:val="Heading1"/>
      </w:pPr>
      <w:r>
        <w:t>12. Erreurs fréquentes et pourquoi elles sont dangereuses</w:t>
      </w:r>
    </w:p>
    <w:tbl>
      <w:tblPr>
        <w:tblStyle w:val="TableGrid"/>
        <w:tblW w:type="dxa" w:w="9360"/>
        <w:tblLayout w:type="fixed"/>
        <w:tblLook w:firstColumn="1" w:firstRow="1" w:lastColumn="0" w:lastRow="0" w:noHBand="0" w:noVBand="1" w:val="04A0"/>
        <w:tblInd w:w="120" w:type="dxa"/>
      </w:tblPr>
      <w:tblGrid>
        <w:gridCol w:w="2600"/>
        <w:gridCol w:w="3280"/>
        <w:gridCol w:w="3480"/>
      </w:tblGrid>
      <w:tr>
        <w:trPr>
          <w:tblHeader w:val="true"/>
        </w:trPr>
        <w:tc>
          <w:tcPr>
            <w:tcW w:type="dxa" w:w="26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Erreur</w:t>
            </w:r>
          </w:p>
        </w:tc>
        <w:tc>
          <w:tcPr>
            <w:tcW w:type="dxa" w:w="328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Risque</w:t>
            </w:r>
          </w:p>
        </w:tc>
        <w:tc>
          <w:tcPr>
            <w:tcW w:type="dxa" w:w="348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Réflexe correct</w:t>
            </w:r>
          </w:p>
        </w:tc>
      </w:tr>
      <w:tr>
        <w:tc>
          <w:tcPr>
            <w:tcW w:type="dxa" w:w="2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Commencer parce que le client est pressé</w:t>
            </w:r>
          </w:p>
        </w:tc>
        <w:tc>
          <w:tcPr>
            <w:tcW w:type="dxa" w:w="328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Travail non accepté, incomplet ou non facturable.</w:t>
            </w:r>
          </w:p>
        </w:tc>
        <w:tc>
          <w:tcPr>
            <w:tcW w:type="dxa" w:w="348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Documenter périmètre et conditions de démarrage.</w:t>
            </w:r>
          </w:p>
        </w:tc>
      </w:tr>
      <w:tr>
        <w:tc>
          <w:tcPr>
            <w:tcW w:type="dxa" w:w="2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Confondre contact et signataire</w:t>
            </w:r>
          </w:p>
        </w:tc>
        <w:tc>
          <w:tcPr>
            <w:tcW w:type="dxa" w:w="328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Instruction non autorisée ou acte contesté.</w:t>
            </w:r>
          </w:p>
        </w:tc>
        <w:tc>
          <w:tcPr>
            <w:tcW w:type="dxa" w:w="348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Vérifier pouvoir publié et délégation interne.</w:t>
            </w:r>
          </w:p>
        </w:tc>
      </w:tr>
      <w:tr>
        <w:tc>
          <w:tcPr>
            <w:tcW w:type="dxa" w:w="2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Considérer la fiduciaire responsable de tout</w:t>
            </w:r>
          </w:p>
        </w:tc>
        <w:tc>
          <w:tcPr>
            <w:tcW w:type="dxa" w:w="328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Responsabilités floues et attentes impossibles.</w:t>
            </w:r>
          </w:p>
        </w:tc>
        <w:tc>
          <w:tcPr>
            <w:tcW w:type="dxa" w:w="348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Distinguer obligations du client, des organes et du mandataire.</w:t>
            </w:r>
          </w:p>
        </w:tc>
      </w:tr>
      <w:tr>
        <w:tc>
          <w:tcPr>
            <w:tcW w:type="dxa" w:w="2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Utiliser un mot de passe partagé</w:t>
            </w:r>
          </w:p>
        </w:tc>
        <w:tc>
          <w:tcPr>
            <w:tcW w:type="dxa" w:w="328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Absence de traçabilité et accès excessif.</w:t>
            </w:r>
          </w:p>
        </w:tc>
        <w:tc>
          <w:tcPr>
            <w:tcW w:type="dxa" w:w="348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Accès nominatif, moindre privilège, révocation.</w:t>
            </w:r>
          </w:p>
        </w:tc>
      </w:tr>
      <w:tr>
        <w:tc>
          <w:tcPr>
            <w:tcW w:type="dxa" w:w="26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Noter seulement “pièces manquantes”</w:t>
            </w:r>
          </w:p>
        </w:tc>
        <w:tc>
          <w:tcPr>
            <w:tcW w:type="dxa" w:w="328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Aucune priorité ni preuve de relance.</w:t>
            </w:r>
          </w:p>
        </w:tc>
        <w:tc>
          <w:tcPr>
            <w:tcW w:type="dxa" w:w="348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Nommer pièce, période, impact, propriétaire et date.</w:t>
            </w:r>
          </w:p>
        </w:tc>
      </w:tr>
      <w:tr>
        <w:tc>
          <w:tcPr>
            <w:tcW w:type="dxa" w:w="26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Faire corriger silencieusement par le senior</w:t>
            </w:r>
          </w:p>
        </w:tc>
        <w:tc>
          <w:tcPr>
            <w:tcW w:type="dxa" w:w="328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Aucun apprentissage et piste de revue faible.</w:t>
            </w:r>
          </w:p>
        </w:tc>
        <w:tc>
          <w:tcPr>
            <w:tcW w:type="dxa" w:w="348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Conserver version initiale, feedback et version corrigée.</w:t>
            </w:r>
          </w:p>
        </w:tc>
      </w:tr>
    </w:tbl>
    <w:p>
      <w:pPr>
        <w:spacing w:after="40"/>
      </w:pPr>
    </w:p>
    <w:p>
      <w:pPr>
        <w:pStyle w:val="Heading1"/>
      </w:pPr>
      <w:r>
        <w:t>13. Livrables du module</w:t>
      </w:r>
    </w:p>
    <w:p>
      <w:pPr>
        <w:numPr>
          <w:ilvl w:val="0"/>
          <w:numId w:val="13"/>
        </w:numPr>
        <w:spacing w:before="0" w:after="80" w:line="300" w:lineRule="auto"/>
      </w:pPr>
      <w:r>
        <w:t>Fiche d’ouverture complétée dans 04_Outils_TC01_apprenant.xlsx;</w:t>
      </w:r>
    </w:p>
    <w:p>
      <w:pPr>
        <w:numPr>
          <w:ilvl w:val="0"/>
          <w:numId w:val="13"/>
        </w:numPr>
        <w:spacing w:before="0" w:after="80" w:line="300" w:lineRule="auto"/>
      </w:pPr>
      <w:r>
        <w:t>calendrier des obligations et liste des dépendances;</w:t>
      </w:r>
    </w:p>
    <w:p>
      <w:pPr>
        <w:numPr>
          <w:ilvl w:val="0"/>
          <w:numId w:val="13"/>
        </w:numPr>
        <w:spacing w:before="0" w:after="80" w:line="300" w:lineRule="auto"/>
      </w:pPr>
      <w:r>
        <w:t>registre des demandes hors mandat;</w:t>
      </w:r>
    </w:p>
    <w:p>
      <w:pPr>
        <w:numPr>
          <w:ilvl w:val="0"/>
          <w:numId w:val="13"/>
        </w:numPr>
        <w:spacing w:before="0" w:after="80" w:line="300" w:lineRule="auto"/>
      </w:pPr>
      <w:r>
        <w:t>note de décision GO / GO sous conditions / NO-GO;</w:t>
      </w:r>
    </w:p>
    <w:p>
      <w:pPr>
        <w:numPr>
          <w:ilvl w:val="0"/>
          <w:numId w:val="13"/>
        </w:numPr>
        <w:spacing w:before="0" w:after="80" w:line="300" w:lineRule="auto"/>
      </w:pPr>
      <w:r>
        <w:t>e-mail client de demande de pièces et clarification;</w:t>
      </w:r>
    </w:p>
    <w:p>
      <w:pPr>
        <w:numPr>
          <w:ilvl w:val="0"/>
          <w:numId w:val="13"/>
        </w:numPr>
        <w:spacing w:before="0" w:after="80" w:line="300" w:lineRule="auto"/>
      </w:pPr>
      <w:r>
        <w:t>quiz de 16 questions avec au moins 14 réponses correctes et toutes les questions critiques réussies;</w:t>
      </w:r>
    </w:p>
    <w:p>
      <w:pPr>
        <w:numPr>
          <w:ilvl w:val="0"/>
          <w:numId w:val="13"/>
        </w:numPr>
        <w:spacing w:before="0" w:after="80" w:line="300" w:lineRule="auto"/>
      </w:pPr>
      <w:r>
        <w:t>revue du responsable selon la grille spécifique TC01.</w:t>
      </w:r>
    </w:p>
    <w:p>
      <w:pPr>
        <w:pStyle w:val="Heading1"/>
      </w:pPr>
      <w:r>
        <w:t>14. Critères de réussite</w:t>
      </w:r>
    </w:p>
    <w:tbl>
      <w:tblPr>
        <w:tblStyle w:val="TableGrid"/>
        <w:tblW w:type="dxa" w:w="9360"/>
        <w:tblLayout w:type="fixed"/>
        <w:tblLook w:firstColumn="1" w:firstRow="1" w:lastColumn="0" w:lastRow="0" w:noHBand="0" w:noVBand="1" w:val="04A0"/>
        <w:tblInd w:w="120" w:type="dxa"/>
      </w:tblPr>
      <w:tblGrid>
        <w:gridCol w:w="2100"/>
        <w:gridCol w:w="2100"/>
        <w:gridCol w:w="5160"/>
      </w:tblGrid>
      <w:tr>
        <w:trPr>
          <w:tblHeader w:val="true"/>
        </w:trPr>
        <w:tc>
          <w:tcPr>
            <w:tcW w:type="dxa" w:w="21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Composante</w:t>
            </w:r>
          </w:p>
        </w:tc>
        <w:tc>
          <w:tcPr>
            <w:tcW w:type="dxa" w:w="21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Seuil</w:t>
            </w:r>
          </w:p>
        </w:tc>
        <w:tc>
          <w:tcPr>
            <w:tcW w:type="dxa" w:w="516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Condition critique</w:t>
            </w:r>
          </w:p>
        </w:tc>
      </w:tr>
      <w:tr>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Quiz</w:t>
            </w:r>
          </w:p>
        </w:tc>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14/16 minimum</w:t>
            </w:r>
          </w:p>
        </w:tc>
        <w:tc>
          <w:tcPr>
            <w:tcW w:type="dxa" w:w="51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Q01, Q04, Q10 et Q15 correctes.</w:t>
            </w:r>
          </w:p>
        </w:tc>
      </w:tr>
      <w:tr>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Cas pratique</w:t>
            </w:r>
          </w:p>
        </w:tc>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80/100 minimum</w:t>
            </w:r>
          </w:p>
        </w:tc>
        <w:tc>
          <w:tcPr>
            <w:tcW w:type="dxa" w:w="51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Aucun acte sensible autorisé sur une base insuffisante.</w:t>
            </w:r>
          </w:p>
        </w:tc>
      </w:tr>
      <w:tr>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Artefacts</w:t>
            </w:r>
          </w:p>
        </w:tc>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Tous déposés</w:t>
            </w:r>
          </w:p>
        </w:tc>
        <w:tc>
          <w:tcPr>
            <w:tcW w:type="dxa" w:w="51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Sources, hypothèses, pièces manquantes et versions visibles.</w:t>
            </w:r>
          </w:p>
        </w:tc>
      </w:tr>
      <w:tr>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Revue</w:t>
            </w:r>
          </w:p>
        </w:tc>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Décision écrite</w:t>
            </w:r>
          </w:p>
        </w:tc>
        <w:tc>
          <w:tcPr>
            <w:tcW w:type="dxa" w:w="51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Responsable identifié, date et feedback substantiel.</w:t>
            </w:r>
          </w:p>
        </w:tc>
      </w:tr>
    </w:tbl>
    <w:p>
      <w:pPr>
        <w:spacing w:after="40"/>
      </w:pPr>
    </w:p>
    <w:p>
      <w:pPr>
        <w:pStyle w:val="Heading1"/>
      </w:pPr>
      <w:r>
        <w:t>15. Sources officielles et date d’utilisation</w:t>
      </w:r>
    </w:p>
    <w:p>
      <w:r>
        <w:t>Les références ci-dessous ont été vérifiées pour la construction pédagogique le 6 août 2026. Avant utilisation sur un dossier réel, la version applicable, la pratique du cabinet et les particularités du mandat doivent être confirmées.</w:t>
      </w:r>
    </w:p>
    <w:p>
      <w:pPr>
        <w:keepLines/>
        <w:spacing w:before="0" w:after="100" w:line="259" w:lineRule="auto"/>
      </w:pPr>
      <w:r>
        <w:rPr>
          <w:rFonts w:ascii="Calibri" w:hAnsi="Calibri"/>
          <w:b/>
          <w:i w:val="0"/>
          <w:color w:val="153E57"/>
          <w:sz w:val="20"/>
        </w:rPr>
        <w:t>Code des obligations (CO; RS 220) - art. 394, 397, 398, 400, 716a al. 1 ch. 3, 810 al. 2 ch. 3, 957, 957a et 958f</w:t>
      </w:r>
      <w:r>
        <w:rPr>
          <w:rFonts w:ascii="Calibri" w:hAnsi="Calibri"/>
          <w:b w:val="0"/>
          <w:i w:val="0"/>
          <w:color w:val="5F6F76"/>
          <w:sz w:val="18"/>
        </w:rPr>
        <w:br/>
        <w:t>Mandat, diligence, reddition de compte, responsabilité des organes, tenue et conservation de la comptabilité.</w:t>
        <w:br/>
        <w:t>https://www.fedlex.admin.ch/eli/cc/27/317_321_377/fr</w:t>
      </w:r>
    </w:p>
    <w:p>
      <w:pPr>
        <w:keepLines/>
        <w:spacing w:before="0" w:after="100" w:line="259" w:lineRule="auto"/>
      </w:pPr>
      <w:r>
        <w:rPr>
          <w:rFonts w:ascii="Calibri" w:hAnsi="Calibri"/>
          <w:b/>
          <w:i w:val="0"/>
          <w:color w:val="153E57"/>
          <w:sz w:val="20"/>
        </w:rPr>
        <w:t>Ordonnance concernant la tenue et la conservation des livres de comptes (Olico; RS 221.431) - art. 2 à 10</w:t>
      </w:r>
      <w:r>
        <w:rPr>
          <w:rFonts w:ascii="Calibri" w:hAnsi="Calibri"/>
          <w:b w:val="0"/>
          <w:i w:val="0"/>
          <w:color w:val="5F6F76"/>
          <w:sz w:val="18"/>
        </w:rPr>
        <w:br/>
        <w:t>Principes de tenue, disponibilité, lisibilité, intégrité et organisation de la conservation.</w:t>
        <w:br/>
        <w:t>https://www.fedlex.admin.ch/eli/cc/2002/216/fr</w:t>
      </w:r>
    </w:p>
    <w:p>
      <w:pPr>
        <w:keepLines/>
        <w:spacing w:before="0" w:after="100" w:line="259" w:lineRule="auto"/>
      </w:pPr>
      <w:r>
        <w:rPr>
          <w:rFonts w:ascii="Calibri" w:hAnsi="Calibri"/>
          <w:b/>
          <w:i w:val="0"/>
          <w:color w:val="153E57"/>
          <w:sz w:val="20"/>
        </w:rPr>
        <w:t>Loi fédérale sur la protection des données (LPD; RS 235.1) - art. 6 à 9 et 24</w:t>
      </w:r>
      <w:r>
        <w:rPr>
          <w:rFonts w:ascii="Calibri" w:hAnsi="Calibri"/>
          <w:b w:val="0"/>
          <w:i w:val="0"/>
          <w:color w:val="5F6F76"/>
          <w:sz w:val="18"/>
        </w:rPr>
        <w:br/>
        <w:t>Proportionnalité, protection dès la conception, sécurité, sous-traitance et réaction aux violations de sécurité.</w:t>
        <w:br/>
        <w:t>https://www.fedlex.admin.ch/eli/cc/2022/491/fr</w:t>
      </w:r>
    </w:p>
    <w:p>
      <w:pPr>
        <w:keepLines/>
        <w:spacing w:before="0" w:after="100" w:line="259" w:lineRule="auto"/>
      </w:pPr>
      <w:r>
        <w:rPr>
          <w:rFonts w:ascii="Calibri" w:hAnsi="Calibri"/>
          <w:b/>
          <w:i w:val="0"/>
          <w:color w:val="153E57"/>
          <w:sz w:val="20"/>
        </w:rPr>
        <w:t>PFPDT - Traitement de données dans un nuage informatique - Guide officiel</w:t>
      </w:r>
      <w:r>
        <w:rPr>
          <w:rFonts w:ascii="Calibri" w:hAnsi="Calibri"/>
          <w:b w:val="0"/>
          <w:i w:val="0"/>
          <w:color w:val="5F6F76"/>
          <w:sz w:val="18"/>
        </w:rPr>
        <w:br/>
        <w:t>Vérifier le rôle du cabinet, les sous-traitants, les pays de traitement et les mesures contractuelles et techniques.</w:t>
        <w:br/>
        <w:t>https://www.edoeb.admin.ch/fr/traitement-de-donnees-dans-un-nuage-informatique</w:t>
      </w:r>
    </w:p>
    <w:p>
      <w:pPr>
        <w:keepLines/>
        <w:spacing w:before="0" w:after="100" w:line="259" w:lineRule="auto"/>
      </w:pPr>
      <w:r>
        <w:rPr>
          <w:rFonts w:ascii="Calibri" w:hAnsi="Calibri"/>
          <w:b/>
          <w:i w:val="0"/>
          <w:color w:val="153E57"/>
          <w:sz w:val="20"/>
        </w:rPr>
        <w:t>Loi fédérale régissant la TVA (LTVA; RS 641.20) - art. 71 al. 1 et 86 al. 1</w:t>
      </w:r>
      <w:r>
        <w:rPr>
          <w:rFonts w:ascii="Calibri" w:hAnsi="Calibri"/>
          <w:b w:val="0"/>
          <w:i w:val="0"/>
          <w:color w:val="5F6F76"/>
          <w:sz w:val="18"/>
        </w:rPr>
        <w:br/>
        <w:t>Remise du décompte et paiement dans les 60 jours suivant la fin de la période de décompte.</w:t>
        <w:br/>
        <w:t>https://www.fedlex.admin.ch/eli/cc/2009/615/fr</w:t>
      </w:r>
    </w:p>
    <w:p>
      <w:pPr>
        <w:keepLines/>
        <w:spacing w:before="0" w:after="100" w:line="259" w:lineRule="auto"/>
      </w:pPr>
      <w:r>
        <w:rPr>
          <w:rFonts w:ascii="Calibri" w:hAnsi="Calibri"/>
          <w:b/>
          <w:i w:val="0"/>
          <w:color w:val="153E57"/>
          <w:sz w:val="20"/>
        </w:rPr>
        <w:t>AFC - Payer la TVA - Remise et paiement du décompte</w:t>
      </w:r>
      <w:r>
        <w:rPr>
          <w:rFonts w:ascii="Calibri" w:hAnsi="Calibri"/>
          <w:b w:val="0"/>
          <w:i w:val="0"/>
          <w:color w:val="5F6F76"/>
          <w:sz w:val="18"/>
        </w:rPr>
        <w:br/>
        <w:t>Rappel opérationnel du délai de 60 jours pour la remise et le paiement.</w:t>
        <w:br/>
        <w:t>https://www.estv.admin.ch/fr/payer-la-tva</w:t>
      </w:r>
    </w:p>
    <w:p>
      <w:pPr>
        <w:keepLines/>
        <w:spacing w:before="0" w:after="100" w:line="259" w:lineRule="auto"/>
      </w:pPr>
      <w:r>
        <w:rPr>
          <w:rFonts w:ascii="Calibri" w:hAnsi="Calibri"/>
          <w:b/>
          <w:i w:val="0"/>
          <w:color w:val="153E57"/>
          <w:sz w:val="20"/>
        </w:rPr>
        <w:t>Loi fédérale sur la procédure administrative (PA; RS 172.021) - art. 20 al. 3</w:t>
      </w:r>
      <w:r>
        <w:rPr>
          <w:rFonts w:ascii="Calibri" w:hAnsi="Calibri"/>
          <w:b w:val="0"/>
          <w:i w:val="0"/>
          <w:color w:val="5F6F76"/>
          <w:sz w:val="18"/>
        </w:rPr>
        <w:br/>
        <w:t>Report au premier jour ouvrable lorsque le dernier jour tombe un samedi, dimanche ou jour férié reconnu.</w:t>
        <w:br/>
        <w:t>https://www.fedlex.admin.ch/eli/cc/1969/737_757_755/fr</w:t>
      </w:r>
    </w:p>
    <w:p>
      <w:pPr>
        <w:keepLines/>
        <w:spacing w:before="0" w:after="100" w:line="259" w:lineRule="auto"/>
      </w:pPr>
      <w:r>
        <w:rPr>
          <w:rFonts w:ascii="Calibri" w:hAnsi="Calibri"/>
          <w:b/>
          <w:i w:val="0"/>
          <w:color w:val="153E57"/>
          <w:sz w:val="20"/>
        </w:rPr>
        <w:t>Loi sur le blanchiment d’argent (LBA; RS 955.0) - art. 2 al. 3 let. b</w:t>
      </w:r>
      <w:r>
        <w:rPr>
          <w:rFonts w:ascii="Calibri" w:hAnsi="Calibri"/>
          <w:b w:val="0"/>
          <w:i w:val="0"/>
          <w:color w:val="5F6F76"/>
          <w:sz w:val="18"/>
        </w:rPr>
        <w:br/>
        <w:t>Base légale à contrôler lorsqu’une activité implique des services dans le domaine du trafic des paiements pour des tiers.</w:t>
        <w:br/>
        <w:t>https://www.fedlex.admin.ch/eli/cc/1998/892_892_892/fr</w:t>
      </w:r>
    </w:p>
    <w:p>
      <w:pPr>
        <w:keepLines/>
        <w:spacing w:before="0" w:after="100" w:line="259" w:lineRule="auto"/>
      </w:pPr>
      <w:r>
        <w:rPr>
          <w:rFonts w:ascii="Calibri" w:hAnsi="Calibri"/>
          <w:b/>
          <w:i w:val="0"/>
          <w:color w:val="153E57"/>
          <w:sz w:val="20"/>
        </w:rPr>
        <w:t>Ordonnance sur le blanchiment d’argent (OBA; RS 955.01) - art. 4 et 7</w:t>
      </w:r>
      <w:r>
        <w:rPr>
          <w:rFonts w:ascii="Calibri" w:hAnsi="Calibri"/>
          <w:b w:val="0"/>
          <w:i w:val="0"/>
          <w:color w:val="5F6F76"/>
          <w:sz w:val="18"/>
        </w:rPr>
        <w:br/>
        <w:t>Précise notamment les services relevant du trafic des paiements et les critères généraux d’exercice à titre professionnel; la qualification concrète reste à confier à la personne compétente.</w:t>
        <w:br/>
        <w:t>https://www.fedlex.admin.ch/eli/cc/2015/791/fr</w:t>
      </w:r>
    </w:p>
    <w:p>
      <w:pPr>
        <w:keepLines/>
        <w:spacing w:before="0" w:after="100" w:line="259" w:lineRule="auto"/>
      </w:pPr>
      <w:r>
        <w:rPr>
          <w:rFonts w:ascii="Calibri" w:hAnsi="Calibri"/>
          <w:b/>
          <w:i w:val="0"/>
          <w:color w:val="153E57"/>
          <w:sz w:val="20"/>
        </w:rPr>
        <w:t>FINMA - Orientation réglementaire et pratique sur le trafic des paiements - Orientation LBA; Circulaire FINMA 2011/1 référencée par la FINMA</w:t>
      </w:r>
      <w:r>
        <w:rPr>
          <w:rFonts w:ascii="Calibri" w:hAnsi="Calibri"/>
          <w:b w:val="0"/>
          <w:i w:val="0"/>
          <w:color w:val="5F6F76"/>
          <w:sz w:val="18"/>
        </w:rPr>
        <w:br/>
        <w:t>La FINMA indique que l’activité fiduciaire et les services de paiement peuvent relever de la LBA selon l’activité concrète; le junior doit escalader avant acceptation.</w:t>
        <w:br/>
        <w:t>https://www.finma.ch/fr/autorisation/fintech/</w:t>
      </w:r>
    </w:p>
    <w:p>
      <w:pPr>
        <w:keepLines/>
        <w:spacing w:before="0" w:after="100" w:line="259" w:lineRule="auto"/>
      </w:pPr>
      <w:r>
        <w:rPr>
          <w:rFonts w:ascii="Calibri" w:hAnsi="Calibri"/>
          <w:b/>
          <w:i w:val="0"/>
          <w:color w:val="153E57"/>
          <w:sz w:val="20"/>
        </w:rPr>
        <w:t>Index central des raisons de commerce Zefix - Registre public</w:t>
      </w:r>
      <w:r>
        <w:rPr>
          <w:rFonts w:ascii="Calibri" w:hAnsi="Calibri"/>
          <w:b w:val="0"/>
          <w:i w:val="0"/>
          <w:color w:val="5F6F76"/>
          <w:sz w:val="18"/>
        </w:rPr>
        <w:br/>
        <w:t>Vérifier l’existence de l’entité, son siège, ses organes et les pouvoirs de signature publiés.</w:t>
        <w:br/>
        <w:t>https://www.zefix.admin.ch</w:t>
      </w:r>
    </w:p>
    <w:p>
      <w:pPr>
        <w:keepLines/>
        <w:spacing w:before="0" w:after="100" w:line="259" w:lineRule="auto"/>
      </w:pPr>
      <w:r>
        <w:rPr>
          <w:rFonts w:ascii="Calibri" w:hAnsi="Calibri"/>
          <w:b/>
          <w:i w:val="0"/>
          <w:color w:val="153E57"/>
          <w:sz w:val="20"/>
        </w:rPr>
        <w:t>Registre IDE de l’Office fédéral de la statistique - Registre public</w:t>
      </w:r>
      <w:r>
        <w:rPr>
          <w:rFonts w:ascii="Calibri" w:hAnsi="Calibri"/>
          <w:b w:val="0"/>
          <w:i w:val="0"/>
          <w:color w:val="5F6F76"/>
          <w:sz w:val="18"/>
        </w:rPr>
        <w:br/>
        <w:t>Vérifier l’identification de l’entreprise et les mentions publiques disponibles, notamment le statut TVA lorsque publié.</w:t>
        <w:br/>
        <w:t>https://www.uid.admin.ch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F6F76"/>
        <w:sz w:val="17"/>
      </w:rPr>
      <w:t xml:space="preserve">TC01 · Document pédagogique fictif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i w:val="0"/>
        <w:color w:val="5F6F76"/>
        <w:sz w:val="17"/>
      </w:rPr>
      <w:t>TC01 · Cours de référence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63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53E5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A7F7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53E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E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00" w:after="160" w:line="300" w:lineRule="auto"/>
      <w:ind w:left="259" w:right="259"/>
    </w:pPr>
    <w:rPr>
      <w:rFonts w:ascii="Calibri" w:hAnsi="Calibri"/>
      <w:color w:val="153E5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TC01 · Cours de référence</dc:title>
  <dc:subject>Formation fiduciaire suisse - TC01</dc:subject>
  <dc:creator>Programme de formation fiduciaire</dc:creator>
  <cp:keywords>fiduciaire, mandat, Suisse, formation, comptabilité</cp:keywords>
  <dc:description>generated by python-docx</dc:description>
  <cp:lastModifiedBy/>
  <cp:revision>1</cp:revision>
  <dcterms:created xsi:type="dcterms:W3CDTF">2013-12-23T23:15:00Z</dcterms:created>
  <dcterms:modified xsi:type="dcterms:W3CDTF">2013-12-23T23:15:00Z</dcterms:modified>
  <cp:category/>
</cp:coreProperties>
</file>