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00" w:lineRule="auto"/>
      </w:pPr>
      <w:r>
        <w:rPr>
          <w:rFonts w:ascii="Calibri" w:hAnsi="Calibri"/>
          <w:b/>
          <w:i w:val="0"/>
          <w:color w:val="2A7F75"/>
          <w:sz w:val="19"/>
        </w:rPr>
        <w:t>CAS PRATIQUE INDIVIDUEL · REMISES PROGRESSIVES</w:t>
      </w:r>
    </w:p>
    <w:p>
      <w:pPr>
        <w:pStyle w:val="Title"/>
      </w:pPr>
      <w:r>
        <w:t>Léman Atelier Sàrl</w:t>
      </w:r>
    </w:p>
    <w:p>
      <w:pPr>
        <w:spacing w:before="0" w:after="400" w:line="300" w:lineRule="auto"/>
      </w:pPr>
      <w:r>
        <w:rPr>
          <w:rFonts w:ascii="Calibri" w:hAnsi="Calibri"/>
          <w:b w:val="0"/>
          <w:i w:val="0"/>
          <w:color w:val="5F6F76"/>
          <w:sz w:val="28"/>
        </w:rPr>
        <w:t>Ouvrir un mandat à partir de documents distincts, incomplets et évolutifs.</w:t>
      </w:r>
    </w:p>
    <w:p>
      <w:pPr>
        <w:spacing w:before="0" w:after="60" w:line="259" w:lineRule="auto"/>
        <w:shd w:fill="EEF6F5"/>
        <w:pBdr>
          <w:top w:val="single" w:sz="4" w:space="3" w:color="D8E1E3"/>
          <w:left w:val="single" w:sz="4" w:space="3" w:color="D8E1E3"/>
          <w:bottom w:val="single" w:sz="4" w:space="3" w:color="D8E1E3"/>
          <w:right w:val="single" w:sz="4" w:space="3" w:color="D8E1E3"/>
        </w:pBdr>
        <w:ind w:left="90" w:right="90"/>
      </w:pPr>
      <w:r>
        <w:rPr>
          <w:rFonts w:ascii="Calibri" w:hAnsi="Calibri"/>
          <w:b/>
          <w:i w:val="0"/>
          <w:color w:val="2A7F75"/>
          <w:sz w:val="18"/>
        </w:rPr>
        <w:t xml:space="preserve">Statut: </w:t>
      </w:r>
      <w:r>
        <w:rPr>
          <w:rFonts w:ascii="Calibri" w:hAnsi="Calibri"/>
          <w:b w:val="0"/>
          <w:i w:val="0"/>
          <w:color w:val="26343A"/>
          <w:sz w:val="18"/>
        </w:rPr>
        <w:t>Entreprise et documents entièrement fictifs</w:t>
      </w:r>
    </w:p>
    <w:p>
      <w:pPr>
        <w:spacing w:before="0" w:after="60" w:line="259" w:lineRule="auto"/>
        <w:shd w:fill="EEF6F5"/>
        <w:pBdr>
          <w:top w:val="single" w:sz="4" w:space="3" w:color="D8E1E3"/>
          <w:left w:val="single" w:sz="4" w:space="3" w:color="D8E1E3"/>
          <w:bottom w:val="single" w:sz="4" w:space="3" w:color="D8E1E3"/>
          <w:right w:val="single" w:sz="4" w:space="3" w:color="D8E1E3"/>
        </w:pBdr>
        <w:ind w:left="90" w:right="90"/>
      </w:pPr>
      <w:r>
        <w:rPr>
          <w:rFonts w:ascii="Calibri" w:hAnsi="Calibri"/>
          <w:b/>
          <w:i w:val="0"/>
          <w:color w:val="2A7F75"/>
          <w:sz w:val="18"/>
        </w:rPr>
        <w:t xml:space="preserve">Temps conseillé: </w:t>
      </w:r>
      <w:r>
        <w:rPr>
          <w:rFonts w:ascii="Calibri" w:hAnsi="Calibri"/>
          <w:b w:val="0"/>
          <w:i w:val="0"/>
          <w:color w:val="26343A"/>
          <w:sz w:val="18"/>
        </w:rPr>
        <w:t>3 h de production + 30 min de quiz</w:t>
      </w:r>
    </w:p>
    <w:p>
      <w:pPr>
        <w:spacing w:before="0" w:after="60" w:line="259" w:lineRule="auto"/>
        <w:shd w:fill="EEF6F5"/>
        <w:pBdr>
          <w:top w:val="single" w:sz="4" w:space="3" w:color="D8E1E3"/>
          <w:left w:val="single" w:sz="4" w:space="3" w:color="D8E1E3"/>
          <w:bottom w:val="single" w:sz="4" w:space="3" w:color="D8E1E3"/>
          <w:right w:val="single" w:sz="4" w:space="3" w:color="D8E1E3"/>
        </w:pBdr>
        <w:ind w:left="90" w:right="90"/>
      </w:pPr>
      <w:r>
        <w:rPr>
          <w:rFonts w:ascii="Calibri" w:hAnsi="Calibri"/>
          <w:b/>
          <w:i w:val="0"/>
          <w:color w:val="2A7F75"/>
          <w:sz w:val="18"/>
        </w:rPr>
        <w:t xml:space="preserve">Livrable: </w:t>
      </w:r>
      <w:r>
        <w:rPr>
          <w:rFonts w:ascii="Calibri" w:hAnsi="Calibri"/>
          <w:b w:val="0"/>
          <w:i w:val="0"/>
          <w:color w:val="26343A"/>
          <w:sz w:val="18"/>
        </w:rPr>
        <w:t>Classeur complété, note de décision, e-mail et feuille de réponses</w:t>
      </w:r>
    </w:p>
    <w:p>
      <w:pPr>
        <w:spacing w:before="0" w:after="60" w:line="259" w:lineRule="auto"/>
        <w:shd w:fill="EEF6F5"/>
        <w:pBdr>
          <w:top w:val="single" w:sz="4" w:space="3" w:color="D8E1E3"/>
          <w:left w:val="single" w:sz="4" w:space="3" w:color="D8E1E3"/>
          <w:bottom w:val="single" w:sz="4" w:space="3" w:color="D8E1E3"/>
          <w:right w:val="single" w:sz="4" w:space="3" w:color="D8E1E3"/>
        </w:pBdr>
        <w:ind w:left="90" w:right="90"/>
      </w:pPr>
      <w:r>
        <w:rPr>
          <w:rFonts w:ascii="Calibri" w:hAnsi="Calibri"/>
          <w:b/>
          <w:i w:val="0"/>
          <w:color w:val="2A7F75"/>
          <w:sz w:val="18"/>
        </w:rPr>
        <w:t xml:space="preserve">Version: </w:t>
      </w:r>
      <w:r>
        <w:rPr>
          <w:rFonts w:ascii="Calibri" w:hAnsi="Calibri"/>
          <w:b w:val="0"/>
          <w:i w:val="0"/>
          <w:color w:val="26343A"/>
          <w:sz w:val="18"/>
        </w:rPr>
        <w:t>1.3 · date de référence du cas: 9 juillet 2026</w:t>
      </w:r>
    </w:p>
    <w:p/>
    <w:p>
      <w:pPr>
        <w:pStyle w:val="Callout"/>
        <w:spacing w:before="80" w:after="160" w:line="300" w:lineRule="auto"/>
        <w:shd w:fill="FFF5DC"/>
        <w:keepLines/>
        <w:pBdr>
          <w:top w:val="single" w:sz="4" w:space="3" w:color="D8E1E3"/>
          <w:left w:val="single" w:sz="4" w:space="3" w:color="D8E1E3"/>
          <w:bottom w:val="single" w:sz="4" w:space="3" w:color="D8E1E3"/>
          <w:right w:val="single" w:sz="4" w:space="3" w:color="D8E1E3"/>
        </w:pBdr>
        <w:ind w:left="110" w:right="110"/>
      </w:pPr>
      <w:r>
        <w:rPr>
          <w:rFonts w:ascii="Calibri" w:hAnsi="Calibri"/>
          <w:b/>
          <w:i w:val="0"/>
          <w:color w:val="153E57"/>
          <w:sz w:val="20"/>
        </w:rPr>
        <w:t xml:space="preserve">RÈGLE DU CAS  </w:t>
      </w:r>
      <w:r>
        <w:rPr>
          <w:rFonts w:ascii="Calibri" w:hAnsi="Calibri"/>
          <w:b w:val="0"/>
          <w:i w:val="0"/>
          <w:color w:val="26343A"/>
          <w:sz w:val="21"/>
        </w:rPr>
        <w:t>Ne demandez pas la seconde remise avant d’avoir analysé la première, consigné les lacunes et préparé une demande de pièces. Les éléments du corrigé ne doivent pas être ouverts avant la remise finale.</w:t>
      </w:r>
    </w:p>
    <w:p>
      <w:pPr>
        <w:pStyle w:val="Heading1"/>
      </w:pPr>
      <w:r>
        <w:t>1. Mission</w:t>
      </w:r>
    </w:p>
    <w:p>
      <w:r>
        <w:t>Le responsable vous confie la préparation de l’ouverture. Aucun dépôt, paiement, salaire ou autre acte engageant ne doit être exécuté. Votre travail consiste à relier chaque conclusion à un document, à distinguer faits et hypothèses, puis à proposer une décision exploitable.</w:t>
      </w:r>
    </w:p>
    <w:p>
      <w:pPr>
        <w:numPr>
          <w:ilvl w:val="0"/>
          <w:numId w:val="10"/>
        </w:numPr>
        <w:spacing w:before="0" w:after="80" w:line="300" w:lineRule="auto"/>
      </w:pPr>
      <w:r>
        <w:t>compléter toutes les feuilles du classeur 04_Outils_TC01_apprenant.xlsx;</w:t>
      </w:r>
    </w:p>
    <w:p>
      <w:pPr>
        <w:numPr>
          <w:ilvl w:val="0"/>
          <w:numId w:val="10"/>
        </w:numPr>
        <w:spacing w:before="0" w:after="80" w:line="300" w:lineRule="auto"/>
      </w:pPr>
      <w:r>
        <w:t>citer pour chaque contrôle le fichier, la date et l’information utilisée;</w:t>
      </w:r>
    </w:p>
    <w:p>
      <w:pPr>
        <w:numPr>
          <w:ilvl w:val="0"/>
          <w:numId w:val="10"/>
        </w:numPr>
        <w:spacing w:before="0" w:after="80" w:line="300" w:lineRule="auto"/>
      </w:pPr>
      <w:r>
        <w:t>rédiger une note de décision de 250 à 400 mots et un e-mail client de 120 à 180 mots;</w:t>
      </w:r>
    </w:p>
    <w:p>
      <w:pPr>
        <w:numPr>
          <w:ilvl w:val="0"/>
          <w:numId w:val="10"/>
        </w:numPr>
        <w:spacing w:before="0" w:after="80" w:line="300" w:lineRule="auto"/>
      </w:pPr>
      <w:r>
        <w:t>déclarer les points non résolus au lieu de créer une certitude;</w:t>
      </w:r>
    </w:p>
    <w:p>
      <w:pPr>
        <w:numPr>
          <w:ilvl w:val="0"/>
          <w:numId w:val="10"/>
        </w:numPr>
        <w:spacing w:before="0" w:after="80" w:line="300" w:lineRule="auto"/>
      </w:pPr>
      <w:r>
        <w:t>répondre au quiz dans 03_Feuille_reponses_quiz_TC01.docx.</w:t>
      </w:r>
    </w:p>
    <w:p>
      <w:pPr>
        <w:pStyle w:val="Heading1"/>
      </w:pPr>
      <w:r>
        <w:t>2. Première remise: analyser sans anticiper</w:t>
      </w:r>
    </w:p>
    <w:tbl>
      <w:tblPr>
        <w:tblStyle w:val="TableGrid"/>
        <w:tblW w:type="dxa" w:w="9360"/>
        <w:tblLayout w:type="fixed"/>
        <w:tblLook w:firstColumn="1" w:firstRow="1" w:lastColumn="0" w:lastRow="0" w:noHBand="0" w:noVBand="1" w:val="04A0"/>
        <w:tblInd w:w="120" w:type="dxa"/>
      </w:tblPr>
      <w:tblGrid>
        <w:gridCol w:w="2800"/>
        <w:gridCol w:w="2100"/>
        <w:gridCol w:w="4460"/>
      </w:tblGrid>
      <w:tr>
        <w:trPr>
          <w:tblHeader w:val="true"/>
        </w:trPr>
        <w:tc>
          <w:tcPr>
            <w:tcW w:type="dxa" w:w="2800"/>
            <w:shd w:fill="2A7F75"/>
            <w:tcMar>
              <w:top w:w="80" w:type="dxa"/>
              <w:start w:w="120" w:type="dxa"/>
              <w:bottom w:w="80" w:type="dxa"/>
              <w:end w:w="120" w:type="dxa"/>
            </w:tcMar>
            <w:vAlign w:val="center"/>
          </w:tcPr>
          <w:p>
            <w:pPr>
              <w:spacing w:before="0" w:after="0" w:line="288" w:lineRule="auto"/>
              <w:jc w:val="center"/>
            </w:pPr>
            <w:r>
              <w:rPr>
                <w:rFonts w:ascii="Calibri" w:hAnsi="Calibri"/>
                <w:b/>
                <w:i w:val="0"/>
                <w:color w:val="FFFFFF"/>
                <w:sz w:val="17"/>
              </w:rPr>
              <w:t>Fichier</w:t>
            </w:r>
          </w:p>
        </w:tc>
        <w:tc>
          <w:tcPr>
            <w:tcW w:type="dxa" w:w="2100"/>
            <w:shd w:fill="2A7F75"/>
            <w:tcMar>
              <w:top w:w="80" w:type="dxa"/>
              <w:start w:w="120" w:type="dxa"/>
              <w:bottom w:w="80" w:type="dxa"/>
              <w:end w:w="120" w:type="dxa"/>
            </w:tcMar>
            <w:vAlign w:val="center"/>
          </w:tcPr>
          <w:p>
            <w:pPr>
              <w:spacing w:before="0" w:after="0" w:line="288" w:lineRule="auto"/>
              <w:jc w:val="center"/>
            </w:pPr>
            <w:r>
              <w:rPr>
                <w:rFonts w:ascii="Calibri" w:hAnsi="Calibri"/>
                <w:b/>
                <w:i w:val="0"/>
                <w:color w:val="FFFFFF"/>
                <w:sz w:val="17"/>
              </w:rPr>
              <w:t>Nature</w:t>
            </w:r>
          </w:p>
        </w:tc>
        <w:tc>
          <w:tcPr>
            <w:tcW w:type="dxa" w:w="4460"/>
            <w:shd w:fill="2A7F75"/>
            <w:tcMar>
              <w:top w:w="80" w:type="dxa"/>
              <w:start w:w="120" w:type="dxa"/>
              <w:bottom w:w="80" w:type="dxa"/>
              <w:end w:w="120" w:type="dxa"/>
            </w:tcMar>
            <w:vAlign w:val="center"/>
          </w:tcPr>
          <w:p>
            <w:pPr>
              <w:spacing w:before="0" w:after="0" w:line="288" w:lineRule="auto"/>
              <w:jc w:val="center"/>
            </w:pPr>
            <w:r>
              <w:rPr>
                <w:rFonts w:ascii="Calibri" w:hAnsi="Calibri"/>
                <w:b/>
                <w:i w:val="0"/>
                <w:color w:val="FFFFFF"/>
                <w:sz w:val="17"/>
              </w:rPr>
              <w:t>Travail attendu</w:t>
            </w:r>
          </w:p>
        </w:tc>
      </w:tr>
      <w:tr>
        <w:tc>
          <w:tcPr>
            <w:tcW w:type="dxa" w:w="28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A_Fiche_client.pdf</w:t>
            </w:r>
          </w:p>
        </w:tc>
        <w:tc>
          <w:tcPr>
            <w:tcW w:type="dxa" w:w="21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Données d’ouverture déclarées</w:t>
            </w:r>
          </w:p>
        </w:tc>
        <w:tc>
          <w:tcPr>
            <w:tcW w:type="dxa" w:w="446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Repérer ce qui est seulement annoncé et ce qui doit être corroboré.</w:t>
            </w:r>
          </w:p>
        </w:tc>
      </w:tr>
      <w:tr>
        <w:tc>
          <w:tcPr>
            <w:tcW w:type="dxa" w:w="280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B_Extrait_RC_ancien.pdf</w:t>
            </w:r>
          </w:p>
        </w:tc>
        <w:tc>
          <w:tcPr>
            <w:tcW w:type="dxa" w:w="210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Publication ancienne</w:t>
            </w:r>
          </w:p>
        </w:tc>
        <w:tc>
          <w:tcPr>
            <w:tcW w:type="dxa" w:w="446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Identifier sa date, ses limites et la vérification actuelle requise.</w:t>
            </w:r>
          </w:p>
        </w:tc>
      </w:tr>
      <w:tr>
        <w:tc>
          <w:tcPr>
            <w:tcW w:type="dxa" w:w="28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C_Mandat_signe.pdf</w:t>
            </w:r>
          </w:p>
        </w:tc>
        <w:tc>
          <w:tcPr>
            <w:tcW w:type="dxa" w:w="21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Périmètre contractuel</w:t>
            </w:r>
          </w:p>
        </w:tc>
        <w:tc>
          <w:tcPr>
            <w:tcW w:type="dxa" w:w="446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Extraire inclusions, exclusions, période et circuit de validation.</w:t>
            </w:r>
          </w:p>
        </w:tc>
      </w:tr>
      <w:tr>
        <w:tc>
          <w:tcPr>
            <w:tcW w:type="dxa" w:w="280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D_Email_Marc.pdf</w:t>
            </w:r>
          </w:p>
        </w:tc>
        <w:tc>
          <w:tcPr>
            <w:tcW w:type="dxa" w:w="210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Instruction urgente</w:t>
            </w:r>
          </w:p>
        </w:tc>
        <w:tc>
          <w:tcPr>
            <w:tcW w:type="dxa" w:w="446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Qualifier demandeur, demandes, accès proposés et actes sensibles.</w:t>
            </w:r>
          </w:p>
        </w:tc>
      </w:tr>
      <w:tr>
        <w:tc>
          <w:tcPr>
            <w:tcW w:type="dxa" w:w="28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E_Inventaire_pieces.xlsx</w:t>
            </w:r>
          </w:p>
        </w:tc>
        <w:tc>
          <w:tcPr>
            <w:tcW w:type="dxa" w:w="21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Inventaire au 9 juillet</w:t>
            </w:r>
          </w:p>
        </w:tc>
        <w:tc>
          <w:tcPr>
            <w:tcW w:type="dxa" w:w="446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Relier chaque manque à son impact, responsable et échéance.</w:t>
            </w:r>
          </w:p>
        </w:tc>
      </w:tr>
    </w:tbl>
    <w:p>
      <w:pPr>
        <w:spacing w:after="40"/>
      </w:pPr>
    </w:p>
    <w:p>
      <w:pPr>
        <w:numPr>
          <w:ilvl w:val="0"/>
          <w:numId w:val="11"/>
        </w:numPr>
        <w:spacing w:before="0" w:after="80" w:line="300" w:lineRule="auto"/>
      </w:pPr>
      <w:r>
        <w:t>Formulez une décision provisoire et au moins huit contrôles ou pièces manquantes.</w:t>
      </w:r>
    </w:p>
    <w:p>
      <w:pPr>
        <w:numPr>
          <w:ilvl w:val="0"/>
          <w:numId w:val="11"/>
        </w:numPr>
        <w:spacing w:before="0" w:after="80" w:line="300" w:lineRule="auto"/>
      </w:pPr>
      <w:r>
        <w:t>Préparez une relance priorisée; ne demandez que les données nécessaires au mandat actuel.</w:t>
      </w:r>
    </w:p>
    <w:p>
      <w:pPr>
        <w:numPr>
          <w:ilvl w:val="0"/>
          <w:numId w:val="11"/>
        </w:numPr>
        <w:spacing w:before="0" w:after="80" w:line="300" w:lineRule="auto"/>
      </w:pPr>
      <w:r>
        <w:t>Signalez séparément la paie, les paiements, les accès et le dépôt TVA.</w:t>
      </w:r>
    </w:p>
    <w:p>
      <w:pPr>
        <w:numPr>
          <w:ilvl w:val="0"/>
          <w:numId w:val="11"/>
        </w:numPr>
        <w:spacing w:before="0" w:after="80" w:line="300" w:lineRule="auto"/>
      </w:pPr>
      <w:r>
        <w:t>Remettez au formateur votre fiche provisoire avant de recevoir la seconde remise.</w:t>
      </w:r>
    </w:p>
    <w:p>
      <w:pPr>
        <w:pStyle w:val="Heading1"/>
      </w:pPr>
      <w:r>
        <w:t>3. Seconde remise: réviser sans effacer la piste</w:t>
      </w:r>
    </w:p>
    <w:p>
      <w:r>
        <w:t>Après validation de votre demande de pièces, le formateur transmet le dossier 02_Remise_apres_relance. Conservez votre première version, ajoutez les nouvelles preuves et expliquez pour chaque changement pourquoi votre conclusion évolue ou reste inchangée.</w:t>
      </w:r>
    </w:p>
    <w:tbl>
      <w:tblPr>
        <w:tblStyle w:val="TableGrid"/>
        <w:tblW w:type="dxa" w:w="9360"/>
        <w:tblLayout w:type="fixed"/>
        <w:tblLook w:firstColumn="1" w:firstRow="1" w:lastColumn="0" w:lastRow="0" w:noHBand="0" w:noVBand="1" w:val="04A0"/>
        <w:tblInd w:w="120" w:type="dxa"/>
      </w:tblPr>
      <w:tblGrid>
        <w:gridCol w:w="3300"/>
        <w:gridCol w:w="6060"/>
      </w:tblGrid>
      <w:tr>
        <w:trPr>
          <w:tblHeader w:val="true"/>
        </w:trPr>
        <w:tc>
          <w:tcPr>
            <w:tcW w:type="dxa" w:w="3300"/>
            <w:shd w:fill="2A7F75"/>
            <w:tcMar>
              <w:top w:w="80" w:type="dxa"/>
              <w:start w:w="120" w:type="dxa"/>
              <w:bottom w:w="80" w:type="dxa"/>
              <w:end w:w="120" w:type="dxa"/>
            </w:tcMar>
            <w:vAlign w:val="center"/>
          </w:tcPr>
          <w:p>
            <w:pPr>
              <w:spacing w:before="0" w:after="0" w:line="288" w:lineRule="auto"/>
              <w:jc w:val="center"/>
            </w:pPr>
            <w:r>
              <w:rPr>
                <w:rFonts w:ascii="Calibri" w:hAnsi="Calibri"/>
                <w:b/>
                <w:i w:val="0"/>
                <w:color w:val="FFFFFF"/>
                <w:sz w:val="17"/>
              </w:rPr>
              <w:t>Fichier</w:t>
            </w:r>
          </w:p>
        </w:tc>
        <w:tc>
          <w:tcPr>
            <w:tcW w:type="dxa" w:w="6060"/>
            <w:shd w:fill="2A7F75"/>
            <w:tcMar>
              <w:top w:w="80" w:type="dxa"/>
              <w:start w:w="120" w:type="dxa"/>
              <w:bottom w:w="80" w:type="dxa"/>
              <w:end w:w="120" w:type="dxa"/>
            </w:tcMar>
            <w:vAlign w:val="center"/>
          </w:tcPr>
          <w:p>
            <w:pPr>
              <w:spacing w:before="0" w:after="0" w:line="288" w:lineRule="auto"/>
              <w:jc w:val="center"/>
            </w:pPr>
            <w:r>
              <w:rPr>
                <w:rFonts w:ascii="Calibri" w:hAnsi="Calibri"/>
                <w:b/>
                <w:i w:val="0"/>
                <w:color w:val="FFFFFF"/>
                <w:sz w:val="17"/>
              </w:rPr>
              <w:t>Question à résoudre</w:t>
            </w:r>
          </w:p>
        </w:tc>
      </w:tr>
      <w:tr>
        <w:tc>
          <w:tcPr>
            <w:tcW w:type="dxa" w:w="33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F_Extrait_RC_actuel.pdf</w:t>
            </w:r>
          </w:p>
        </w:tc>
        <w:tc>
          <w:tcPr>
            <w:tcW w:type="dxa" w:w="606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Quels organes et pouvoirs sont publiés au 30 juin 2026?</w:t>
            </w:r>
          </w:p>
        </w:tc>
      </w:tr>
      <w:tr>
        <w:tc>
          <w:tcPr>
            <w:tcW w:type="dxa" w:w="330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G_Extrait_IDE_TVA.pdf</w:t>
            </w:r>
          </w:p>
        </w:tc>
        <w:tc>
          <w:tcPr>
            <w:tcW w:type="dxa" w:w="606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Quel statut TVA public et quels paramètres sont confirmés?</w:t>
            </w:r>
          </w:p>
        </w:tc>
      </w:tr>
      <w:tr>
        <w:tc>
          <w:tcPr>
            <w:tcW w:type="dxa" w:w="33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H_Delegation_interne.pdf</w:t>
            </w:r>
          </w:p>
        </w:tc>
        <w:tc>
          <w:tcPr>
            <w:tcW w:type="dxa" w:w="606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Quels actes Marc peut-il accomplir et quelles limites subsistent?</w:t>
            </w:r>
          </w:p>
        </w:tc>
      </w:tr>
      <w:tr>
        <w:tc>
          <w:tcPr>
            <w:tcW w:type="dxa" w:w="330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I_Simulation_ePortal_TVA.pdf</w:t>
            </w:r>
          </w:p>
        </w:tc>
        <w:tc>
          <w:tcPr>
            <w:tcW w:type="dxa" w:w="606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Quelle échéance exacte est affichée pour remise et paiement?</w:t>
            </w:r>
          </w:p>
        </w:tc>
      </w:tr>
      <w:tr>
        <w:tc>
          <w:tcPr>
            <w:tcW w:type="dxa" w:w="33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J_Calendrier_source.xlsx</w:t>
            </w:r>
          </w:p>
        </w:tc>
        <w:tc>
          <w:tcPr>
            <w:tcW w:type="dxa" w:w="606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Comment articuler date légale, dates client et dates internes?</w:t>
            </w:r>
          </w:p>
        </w:tc>
      </w:tr>
    </w:tbl>
    <w:p>
      <w:pPr>
        <w:spacing w:after="40"/>
      </w:pPr>
    </w:p>
    <w:p>
      <w:pPr>
        <w:pStyle w:val="Callout"/>
        <w:spacing w:before="80" w:after="160" w:line="300" w:lineRule="auto"/>
        <w:shd w:fill="EAF1F5"/>
        <w:keepLines/>
        <w:pBdr>
          <w:top w:val="single" w:sz="4" w:space="3" w:color="D8E1E3"/>
          <w:left w:val="single" w:sz="4" w:space="3" w:color="D8E1E3"/>
          <w:bottom w:val="single" w:sz="4" w:space="3" w:color="D8E1E3"/>
          <w:right w:val="single" w:sz="4" w:space="3" w:color="D8E1E3"/>
        </w:pBdr>
        <w:ind w:left="110" w:right="110"/>
      </w:pPr>
      <w:r>
        <w:rPr>
          <w:rFonts w:ascii="Calibri" w:hAnsi="Calibri"/>
          <w:b/>
          <w:i w:val="0"/>
          <w:color w:val="153E57"/>
          <w:sz w:val="20"/>
        </w:rPr>
        <w:t xml:space="preserve">POINT D’ATTENTION  </w:t>
      </w:r>
      <w:r>
        <w:rPr>
          <w:rFonts w:ascii="Calibri" w:hAnsi="Calibri"/>
          <w:b w:val="0"/>
          <w:i w:val="0"/>
          <w:color w:val="26343A"/>
          <w:sz w:val="21"/>
        </w:rPr>
        <w:t>Un document nouveau ne supprime pas automatiquement une exclusion du mandat. Le résultat attendu est une révision argumentée, pas un remplacement silencieux des constats initiaux.</w:t>
      </w:r>
    </w:p>
    <w:p>
      <w:pPr>
        <w:pStyle w:val="Heading1"/>
      </w:pPr>
      <w:r>
        <w:t>4. Travaux à remettre</w:t>
      </w:r>
    </w:p>
    <w:p>
      <w:pPr>
        <w:numPr>
          <w:ilvl w:val="0"/>
          <w:numId w:val="12"/>
        </w:numPr>
        <w:spacing w:before="0" w:after="80" w:line="300" w:lineRule="auto"/>
      </w:pPr>
      <w:r>
        <w:t>Fiche d’ouverture: entité, pouvoirs, mandat, TVA, données, accès, pièces, calendrier, décision et preuves.</w:t>
      </w:r>
    </w:p>
    <w:p>
      <w:pPr>
        <w:numPr>
          <w:ilvl w:val="0"/>
          <w:numId w:val="12"/>
        </w:numPr>
        <w:spacing w:before="0" w:after="80" w:line="300" w:lineRule="auto"/>
      </w:pPr>
      <w:r>
        <w:t>Calendrier: date de référence fixe du 9 juillet 2026, échéance officielle sourcée, délais client et internes.</w:t>
      </w:r>
    </w:p>
    <w:p>
      <w:pPr>
        <w:numPr>
          <w:ilvl w:val="0"/>
          <w:numId w:val="12"/>
        </w:numPr>
        <w:spacing w:before="0" w:after="80" w:line="300" w:lineRule="auto"/>
      </w:pPr>
      <w:r>
        <w:t>Registre hors mandat: demande, demandeur, pouvoir, risque, décision, validation requise et trace.</w:t>
      </w:r>
    </w:p>
    <w:p>
      <w:pPr>
        <w:numPr>
          <w:ilvl w:val="0"/>
          <w:numId w:val="12"/>
        </w:numPr>
        <w:spacing w:before="0" w:after="80" w:line="300" w:lineRule="auto"/>
      </w:pPr>
      <w:r>
        <w:t>Note au responsable: faits vérifiés, incertitudes, risques, décisions attendues et prochaine étape.</w:t>
      </w:r>
    </w:p>
    <w:p>
      <w:pPr>
        <w:numPr>
          <w:ilvl w:val="0"/>
          <w:numId w:val="12"/>
        </w:numPr>
        <w:spacing w:before="0" w:after="80" w:line="300" w:lineRule="auto"/>
      </w:pPr>
      <w:r>
        <w:t>E-mail au client: demande priorisée, limites du mandat, accès conformes et personne habilitée.</w:t>
      </w:r>
    </w:p>
    <w:p>
      <w:pPr>
        <w:numPr>
          <w:ilvl w:val="0"/>
          <w:numId w:val="12"/>
        </w:numPr>
        <w:spacing w:before="0" w:after="80" w:line="300" w:lineRule="auto"/>
      </w:pPr>
      <w:r>
        <w:t>Feuille de réponses: 16 réponses, justification courte pour les quatre questions critiques et déclaration de remise.</w:t>
      </w:r>
    </w:p>
    <w:p>
      <w:pPr>
        <w:pStyle w:val="Heading1"/>
      </w:pPr>
      <w:r>
        <w:t>5. Critères de réussite</w:t>
      </w:r>
    </w:p>
    <w:tbl>
      <w:tblPr>
        <w:tblStyle w:val="TableGrid"/>
        <w:tblW w:type="dxa" w:w="9360"/>
        <w:tblLayout w:type="fixed"/>
        <w:tblLook w:firstColumn="1" w:firstRow="1" w:lastColumn="0" w:lastRow="0" w:noHBand="0" w:noVBand="1" w:val="04A0"/>
        <w:tblInd w:w="120" w:type="dxa"/>
      </w:tblPr>
      <w:tblGrid>
        <w:gridCol w:w="2100"/>
        <w:gridCol w:w="2100"/>
        <w:gridCol w:w="5160"/>
      </w:tblGrid>
      <w:tr>
        <w:trPr>
          <w:tblHeader w:val="true"/>
        </w:trPr>
        <w:tc>
          <w:tcPr>
            <w:tcW w:type="dxa" w:w="2100"/>
            <w:shd w:fill="2A7F75"/>
            <w:tcMar>
              <w:top w:w="80" w:type="dxa"/>
              <w:start w:w="120" w:type="dxa"/>
              <w:bottom w:w="80" w:type="dxa"/>
              <w:end w:w="120" w:type="dxa"/>
            </w:tcMar>
            <w:vAlign w:val="center"/>
          </w:tcPr>
          <w:p>
            <w:pPr>
              <w:spacing w:before="0" w:after="0" w:line="288" w:lineRule="auto"/>
              <w:jc w:val="center"/>
            </w:pPr>
            <w:r>
              <w:rPr>
                <w:rFonts w:ascii="Calibri" w:hAnsi="Calibri"/>
                <w:b/>
                <w:i w:val="0"/>
                <w:color w:val="FFFFFF"/>
                <w:sz w:val="17"/>
              </w:rPr>
              <w:t>Composante</w:t>
            </w:r>
          </w:p>
        </w:tc>
        <w:tc>
          <w:tcPr>
            <w:tcW w:type="dxa" w:w="2100"/>
            <w:shd w:fill="2A7F75"/>
            <w:tcMar>
              <w:top w:w="80" w:type="dxa"/>
              <w:start w:w="120" w:type="dxa"/>
              <w:bottom w:w="80" w:type="dxa"/>
              <w:end w:w="120" w:type="dxa"/>
            </w:tcMar>
            <w:vAlign w:val="center"/>
          </w:tcPr>
          <w:p>
            <w:pPr>
              <w:spacing w:before="0" w:after="0" w:line="288" w:lineRule="auto"/>
              <w:jc w:val="center"/>
            </w:pPr>
            <w:r>
              <w:rPr>
                <w:rFonts w:ascii="Calibri" w:hAnsi="Calibri"/>
                <w:b/>
                <w:i w:val="0"/>
                <w:color w:val="FFFFFF"/>
                <w:sz w:val="17"/>
              </w:rPr>
              <w:t>Seuil</w:t>
            </w:r>
          </w:p>
        </w:tc>
        <w:tc>
          <w:tcPr>
            <w:tcW w:type="dxa" w:w="5160"/>
            <w:shd w:fill="2A7F75"/>
            <w:tcMar>
              <w:top w:w="80" w:type="dxa"/>
              <w:start w:w="120" w:type="dxa"/>
              <w:bottom w:w="80" w:type="dxa"/>
              <w:end w:w="120" w:type="dxa"/>
            </w:tcMar>
            <w:vAlign w:val="center"/>
          </w:tcPr>
          <w:p>
            <w:pPr>
              <w:spacing w:before="0" w:after="0" w:line="288" w:lineRule="auto"/>
              <w:jc w:val="center"/>
            </w:pPr>
            <w:r>
              <w:rPr>
                <w:rFonts w:ascii="Calibri" w:hAnsi="Calibri"/>
                <w:b/>
                <w:i w:val="0"/>
                <w:color w:val="FFFFFF"/>
                <w:sz w:val="17"/>
              </w:rPr>
              <w:t>Condition bloquante</w:t>
            </w:r>
          </w:p>
        </w:tc>
      </w:tr>
      <w:tr>
        <w:tc>
          <w:tcPr>
            <w:tcW w:type="dxa" w:w="21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Quiz</w:t>
            </w:r>
          </w:p>
        </w:tc>
        <w:tc>
          <w:tcPr>
            <w:tcW w:type="dxa" w:w="21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14/16</w:t>
            </w:r>
          </w:p>
        </w:tc>
        <w:tc>
          <w:tcPr>
            <w:tcW w:type="dxa" w:w="516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Q01, Q04, Q10 et Q15 toutes correctes.</w:t>
            </w:r>
          </w:p>
        </w:tc>
      </w:tr>
      <w:tr>
        <w:tc>
          <w:tcPr>
            <w:tcW w:type="dxa" w:w="210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Cas pratique</w:t>
            </w:r>
          </w:p>
        </w:tc>
        <w:tc>
          <w:tcPr>
            <w:tcW w:type="dxa" w:w="210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80/100</w:t>
            </w:r>
          </w:p>
        </w:tc>
        <w:tc>
          <w:tcPr>
            <w:tcW w:type="dxa" w:w="516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Aucune erreur critique dans la grille responsable.</w:t>
            </w:r>
          </w:p>
        </w:tc>
      </w:tr>
      <w:tr>
        <w:tc>
          <w:tcPr>
            <w:tcW w:type="dxa" w:w="21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Piste de preuve</w:t>
            </w:r>
          </w:p>
        </w:tc>
        <w:tc>
          <w:tcPr>
            <w:tcW w:type="dxa" w:w="210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Complète</w:t>
            </w:r>
          </w:p>
        </w:tc>
        <w:tc>
          <w:tcPr>
            <w:tcW w:type="dxa" w:w="5160"/>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Les changements entre remises sont datés et sourcés.</w:t>
            </w:r>
          </w:p>
        </w:tc>
      </w:tr>
      <w:tr>
        <w:tc>
          <w:tcPr>
            <w:tcW w:type="dxa" w:w="210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Revue</w:t>
            </w:r>
          </w:p>
        </w:tc>
        <w:tc>
          <w:tcPr>
            <w:tcW w:type="dxa" w:w="210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Responsable identifié</w:t>
            </w:r>
          </w:p>
        </w:tc>
        <w:tc>
          <w:tcPr>
            <w:tcW w:type="dxa" w:w="5160"/>
            <w:shd w:fill="F8FAFA"/>
            <w:tcMar>
              <w:top w:w="80" w:type="dxa"/>
              <w:start w:w="120" w:type="dxa"/>
              <w:bottom w:w="80" w:type="dxa"/>
              <w:end w:w="120" w:type="dxa"/>
            </w:tcMar>
            <w:vAlign w:val="center"/>
          </w:tcPr>
          <w:p>
            <w:pPr>
              <w:spacing w:before="0" w:after="0" w:line="293" w:lineRule="auto"/>
            </w:pPr>
            <w:r>
              <w:rPr>
                <w:rFonts w:ascii="Calibri" w:hAnsi="Calibri"/>
                <w:b w:val="0"/>
                <w:i w:val="0"/>
                <w:color w:val="26343A"/>
                <w:sz w:val="17"/>
              </w:rPr>
              <w:t>Date, feedback global et tous les critères complétés.</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b w:val="0"/>
        <w:i w:val="0"/>
        <w:color w:val="5F6F76"/>
        <w:sz w:val="17"/>
      </w:rPr>
      <w:t xml:space="preserve">TC01 · Document pédagogique fictif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b/>
        <w:i w:val="0"/>
        <w:color w:val="5F6F76"/>
        <w:sz w:val="17"/>
      </w:rPr>
      <w:t>TC01 · Dossier apprenant v1.3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decimal"/>
      <w:lvlText w:val="%1."/>
      <w:lvlJc w:val="left"/>
      <w:pPr>
        <w:tabs>
          <w:tab w:val="num" w:pos="540"/>
        </w:tabs>
        <w:ind w:left="540" w:hanging="27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634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53E5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A7F7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53E5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53E5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100" w:after="160" w:line="300" w:lineRule="auto"/>
      <w:ind w:left="259" w:right="259"/>
    </w:pPr>
    <w:rPr>
      <w:rFonts w:ascii="Calibri" w:hAnsi="Calibri"/>
      <w:color w:val="153E5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TC01 · Dossier apprenant v1.3</dc:title>
  <dc:subject>Formation fiduciaire suisse - TC01</dc:subject>
  <dc:creator>Programme de formation fiduciaire</dc:creator>
  <cp:keywords>fiduciaire, mandat, Suisse, formation, comptabilité</cp:keywords>
  <dc:description>generated by python-docx</dc:description>
  <cp:lastModifiedBy/>
  <cp:revision>1</cp:revision>
  <dcterms:created xsi:type="dcterms:W3CDTF">2013-12-23T23:15:00Z</dcterms:created>
  <dcterms:modified xsi:type="dcterms:W3CDTF">2013-12-23T23:15:00Z</dcterms:modified>
  <cp:category/>
</cp:coreProperties>
</file>