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Janssen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Hannelore Carlijn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Korte Voorhout 80, 8671 37 Helmond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1967-03-14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XX8837266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2019-10-16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2029-10-15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+31 06 64024048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hannelore.janssen@yahoo.com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Tio University of Applied Sciences (1991)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1995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ABN AMRO Group N.V.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Private Equity Investor (419000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grandmother,2013,Corporate Lawyer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5524000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710000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☒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7674000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6446160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