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План</w:t>
      </w:r>
      <w:r>
        <w:t xml:space="preserve"> </w:t>
      </w:r>
      <w:r>
        <w:t xml:space="preserve">тестування</w:t>
      </w:r>
      <w:r>
        <w:t xml:space="preserve"> </w:t>
      </w:r>
      <w:r>
        <w:t xml:space="preserve">—</w:t>
      </w:r>
      <w:r>
        <w:t xml:space="preserve"> </w:t>
      </w:r>
      <w:r>
        <w:t xml:space="preserve">платформа</w:t>
      </w:r>
      <w:r>
        <w:t xml:space="preserve"> </w:t>
      </w:r>
      <w:r>
        <w:t xml:space="preserve">Grassy</w:t>
      </w:r>
      <w:r>
        <w:t xml:space="preserve"> </w:t>
      </w:r>
      <w:r>
        <w:t xml:space="preserve">(Agro-Marketplace)</w:t>
      </w:r>
    </w:p>
    <w:p>
      <w:pPr>
        <w:pStyle w:val="Author"/>
      </w:pPr>
      <w:r>
        <w:t xml:space="preserve">QA</w:t>
      </w:r>
      <w:r>
        <w:t xml:space="preserve"> </w:t>
      </w:r>
      <w:r>
        <w:t xml:space="preserve">документація</w:t>
      </w:r>
    </w:p>
    <w:p>
      <w:pPr>
        <w:pStyle w:val="Date"/>
      </w:pPr>
      <w:r>
        <w:t xml:space="preserve">Версія</w:t>
      </w:r>
      <w:r>
        <w:t xml:space="preserve"> </w:t>
      </w:r>
      <w:r>
        <w:t xml:space="preserve">1.0</w:t>
      </w:r>
      <w:r>
        <w:t xml:space="preserve"> </w:t>
      </w:r>
      <w:r>
        <w:t xml:space="preserve">·</w:t>
      </w:r>
      <w:r>
        <w:t xml:space="preserve"> </w:t>
      </w:r>
      <w:r>
        <w:t xml:space="preserve">2026</w:t>
      </w:r>
    </w:p>
    <w:bookmarkStart w:id="22" w:name="вступ"/>
    <w:p>
      <w:pPr>
        <w:pStyle w:val="Heading1"/>
      </w:pPr>
      <w:r>
        <w:t xml:space="preserve">1. Вступ</w:t>
      </w:r>
    </w:p>
    <w:bookmarkStart w:id="20" w:name="мета-документа"/>
    <w:p>
      <w:pPr>
        <w:pStyle w:val="Heading2"/>
      </w:pPr>
      <w:r>
        <w:t xml:space="preserve">1.1 Мета документа</w:t>
      </w:r>
    </w:p>
    <w:p>
      <w:pPr>
        <w:pStyle w:val="FirstParagraph"/>
      </w:pPr>
      <w:r>
        <w:t xml:space="preserve">Цей документ визначає стратегію, обсяг, підхід і критерії якості для тестування платформи Grassy — агро-маркетплейсу, що об’єднує виробників сільгосппродукції, покупців та логістичні компанії у сегментах B2B і B2C. План тестування охоплює як наскрізну функціональність платформи, так і окремі епіки продуктової розробки (Особистий кабінет користувача, Управління товарами), і слугує єдиною точкою входу для планування тестових активностей команди QA.</w:t>
      </w:r>
    </w:p>
    <w:bookmarkEnd w:id="20"/>
    <w:bookmarkStart w:id="21" w:name="джерела-вимог"/>
    <w:p>
      <w:pPr>
        <w:pStyle w:val="Heading2"/>
      </w:pPr>
      <w:r>
        <w:t xml:space="preserve">1.2 Джерела вимог</w:t>
      </w:r>
    </w:p>
    <w:p>
      <w:pPr>
        <w:numPr>
          <w:ilvl w:val="0"/>
          <w:numId w:val="1001"/>
        </w:numPr>
        <w:pStyle w:val="Compact"/>
      </w:pPr>
      <w:r>
        <w:t xml:space="preserve">Продуктова концепція, зафіксована на дискавері-мітингу зі стартапом (саммарі мітингу).</w:t>
      </w:r>
    </w:p>
    <w:p>
      <w:pPr>
        <w:numPr>
          <w:ilvl w:val="0"/>
          <w:numId w:val="1001"/>
        </w:numPr>
        <w:pStyle w:val="Compact"/>
      </w:pPr>
      <w:r>
        <w:t xml:space="preserve">README проєкту з описом ролей, ключових механізмів (форвардні закупки, ескроу-модель) та технічного стеку.</w:t>
      </w:r>
    </w:p>
    <w:p>
      <w:pPr>
        <w:numPr>
          <w:ilvl w:val="0"/>
          <w:numId w:val="1001"/>
        </w:numPr>
        <w:pStyle w:val="Compact"/>
      </w:pPr>
      <w:r>
        <w:t xml:space="preserve">Чек-лист наскрізних перевірок платформи (134 тест-кейси, 6 доменів).</w:t>
      </w:r>
    </w:p>
    <w:p>
      <w:pPr>
        <w:numPr>
          <w:ilvl w:val="0"/>
          <w:numId w:val="1001"/>
        </w:numPr>
        <w:pStyle w:val="Compact"/>
      </w:pPr>
      <w:r>
        <w:t xml:space="preserve">Епікові чек-листи: Epic 1 «Управління користувачами» (реєстрація, статуси акаунта, вхід, відновлення пароля — очікує на надання вихідного файлу), Epic 2 «Особистий кабінет користувача» (138 перевірок), Epic 3 «Управління товарами» (73 перевірки).</w:t>
      </w:r>
    </w:p>
    <w:bookmarkEnd w:id="21"/>
    <w:bookmarkEnd w:id="22"/>
    <w:bookmarkStart w:id="26" w:name="опис-проєкту-під-тестуванням"/>
    <w:p>
      <w:pPr>
        <w:pStyle w:val="Heading1"/>
      </w:pPr>
      <w:r>
        <w:t xml:space="preserve">2. Опис проєкту під тестуванням</w:t>
      </w:r>
    </w:p>
    <w:bookmarkStart w:id="23" w:name="ролі-користувачів"/>
    <w:p>
      <w:pPr>
        <w:pStyle w:val="Heading2"/>
      </w:pPr>
      <w:r>
        <w:t xml:space="preserve">2.1 Ролі користувачів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Виробник (Producer/Seller)</w:t>
      </w:r>
      <w:r>
        <w:t xml:space="preserve"> </w:t>
      </w:r>
      <w:r>
        <w:t xml:space="preserve">— розміщує та продає сільгосппродукцію оптом і вроздріб.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Покупець (Buyer)</w:t>
      </w:r>
      <w:r>
        <w:t xml:space="preserve"> </w:t>
      </w:r>
      <w:r>
        <w:t xml:space="preserve">— шукає, фільтрує та купує товари, включно через механізм форвардних закупок (об’єднання обсягів кількох виробників в одне велике замовлення).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Перевізник (Carrier)</w:t>
      </w:r>
      <w:r>
        <w:t xml:space="preserve"> </w:t>
      </w:r>
      <w:r>
        <w:t xml:space="preserve">— здійснює верифіковану доставку товару.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Адміністратор</w:t>
      </w:r>
      <w:r>
        <w:t xml:space="preserve"> </w:t>
      </w:r>
      <w:r>
        <w:t xml:space="preserve">— керує верифікацією користувачів, вирішенням суперечок і платформним наглядом.</w:t>
      </w:r>
    </w:p>
    <w:bookmarkEnd w:id="23"/>
    <w:bookmarkStart w:id="24" w:name="ключові-диференціатори-продукту"/>
    <w:p>
      <w:pPr>
        <w:pStyle w:val="Heading2"/>
      </w:pPr>
      <w:r>
        <w:t xml:space="preserve">2.2 Ключові диференціатори продукту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Форвардні закупки</w:t>
      </w:r>
      <w:r>
        <w:t xml:space="preserve"> </w:t>
      </w:r>
      <w:r>
        <w:t xml:space="preserve">— об’єднання обсягів кількох виробників в одне велике замовлення.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Ескроу-модель угод</w:t>
      </w:r>
      <w:r>
        <w:t xml:space="preserve"> </w:t>
      </w:r>
      <w:r>
        <w:t xml:space="preserve">— заморожування коштів до підтвердження отримання товару, з механізмом вирішення суперечок.</w:t>
      </w:r>
    </w:p>
    <w:bookmarkEnd w:id="24"/>
    <w:bookmarkStart w:id="25" w:name="технологічний-стек"/>
    <w:p>
      <w:pPr>
        <w:pStyle w:val="Heading2"/>
      </w:pPr>
      <w:r>
        <w:t xml:space="preserve">2.3 Технологічний стек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Frontend:</w:t>
      </w:r>
      <w:r>
        <w:t xml:space="preserve"> </w:t>
      </w:r>
      <w:r>
        <w:t xml:space="preserve">Next.js (SSR), TypeScript, Zustand, TanStack Query, Mantine, React Hook Form + Zod, Axios.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t xml:space="preserve">Java 17, Spring Boot, Spring Security, Spring Data JPA, Spring AI, RabbitMQ, JWT/OAuth2, Swagger, JUnit5, Mockito.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База даних:</w:t>
      </w:r>
      <w:r>
        <w:t xml:space="preserve"> </w:t>
      </w:r>
      <w:r>
        <w:t xml:space="preserve">PostgreSQL.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DevOps:</w:t>
      </w:r>
      <w:r>
        <w:t xml:space="preserve"> </w:t>
      </w:r>
      <w:r>
        <w:t xml:space="preserve">Docker, Docker Compose, AWS.</w:t>
      </w:r>
    </w:p>
    <w:bookmarkEnd w:id="25"/>
    <w:bookmarkEnd w:id="26"/>
    <w:bookmarkStart w:id="29" w:name="обсяг-тестування"/>
    <w:p>
      <w:pPr>
        <w:pStyle w:val="Heading1"/>
      </w:pPr>
      <w:r>
        <w:t xml:space="preserve">3. Обсяг тестування</w:t>
      </w:r>
    </w:p>
    <w:bookmarkStart w:id="27" w:name="включено-в-обсяг-in-scope"/>
    <w:p>
      <w:pPr>
        <w:pStyle w:val="Heading2"/>
      </w:pPr>
      <w:r>
        <w:t xml:space="preserve">3.1 Включено в обсяг (In Scope)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Джерело покриття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К-сть тест-кейсів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Функціонал та ролі на платформі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Наскрізний чек-лист, домен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Юридичні та безпекові аспекти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Наскрізний чек-лист, домен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Економічна модель та монетизація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Наскрізний чек-лист, домен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Технічний стек (frontend/backend/інфраструктура)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Наскрізний чек-лист, домен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Логістика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Наскрізний чек-лист, домен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Маркетинг та просування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Наскрізний чек-лист, домен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Особистий кабінет користувача (Epic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Епіковий чек-лист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Управління товарами (Epic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Епіковий чек-лист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</w:tr>
    </w:tbl>
    <w:p>
      <w:pPr>
        <w:pStyle w:val="BodyText"/>
      </w:pPr>
      <w:r>
        <w:rPr>
          <w:bCs/>
          <w:b/>
        </w:rPr>
        <w:t xml:space="preserve">Разом заплановано: 345 тест-кейсів.</w:t>
      </w:r>
    </w:p>
    <w:bookmarkEnd w:id="27"/>
    <w:bookmarkStart w:id="28" w:name="Xe90903493fd095fd3e2e633c4818cd230117695"/>
    <w:p>
      <w:pPr>
        <w:pStyle w:val="Heading2"/>
      </w:pPr>
      <w:r>
        <w:t xml:space="preserve">3.2 Тимчасово поза обсягом / очікує вхідних даних</w:t>
      </w:r>
    </w:p>
    <w:p>
      <w:pPr>
        <w:numPr>
          <w:ilvl w:val="0"/>
          <w:numId w:val="1005"/>
        </w:numPr>
        <w:pStyle w:val="Compact"/>
      </w:pPr>
      <w:r>
        <w:t xml:space="preserve">Epic 1 «Управління користувачами» — чек-лист згадується в проєктній документації, але вихідний файл ще не консолідований у цей план; додається окремим доповненням після надання.</w:t>
      </w:r>
    </w:p>
    <w:p>
      <w:pPr>
        <w:numPr>
          <w:ilvl w:val="0"/>
          <w:numId w:val="1005"/>
        </w:numPr>
        <w:pStyle w:val="Compact"/>
      </w:pPr>
      <w:r>
        <w:t xml:space="preserve">Продуктивне (performance/load) тестування поза межами вказаних у чек-листі точкових перевірок (напр. TECH-N10) — потребує окремого плану навантажувального тестування з визначенням цільових SLA.</w:t>
      </w:r>
    </w:p>
    <w:p>
      <w:pPr>
        <w:numPr>
          <w:ilvl w:val="0"/>
          <w:numId w:val="1005"/>
        </w:numPr>
        <w:pStyle w:val="Compact"/>
      </w:pPr>
      <w:r>
        <w:t xml:space="preserve">Тестування мобільних нативних застосунків — платформа описана як SSR веб-застосунок; окремих мобільних додатків у джерелах не зафіксовано.</w:t>
      </w:r>
    </w:p>
    <w:bookmarkEnd w:id="28"/>
    <w:bookmarkEnd w:id="29"/>
    <w:bookmarkStart w:id="33" w:name="підхід-до-тестування"/>
    <w:p>
      <w:pPr>
        <w:pStyle w:val="Heading1"/>
      </w:pPr>
      <w:r>
        <w:t xml:space="preserve">4. Підхід до тестування</w:t>
      </w:r>
    </w:p>
    <w:bookmarkStart w:id="30" w:name="рівні-тестування"/>
    <w:p>
      <w:pPr>
        <w:pStyle w:val="Heading2"/>
      </w:pPr>
      <w:r>
        <w:t xml:space="preserve">4.1 Рівні тестування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Функціональне тестування</w:t>
      </w:r>
      <w:r>
        <w:t xml:space="preserve"> </w:t>
      </w:r>
      <w:r>
        <w:t xml:space="preserve">— перевірка відповідності бізнес-логіки вимогам для кожної ролі (Виробник/Покупець/Перевізник/Адмін).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Тестування безпеки</w:t>
      </w:r>
      <w:r>
        <w:t xml:space="preserve"> </w:t>
      </w:r>
      <w:r>
        <w:t xml:space="preserve">— контроль доступу за ролями (RBAC), захист від SQL-ін’єкцій та XSS, валідація та термін дії JWT, CORS-політики.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Інтеграційне тестування</w:t>
      </w:r>
      <w:r>
        <w:t xml:space="preserve"> </w:t>
      </w:r>
      <w:r>
        <w:t xml:space="preserve">— взаємодія між сервісами через RabbitMQ, коректність збереження даних у PostgreSQL, відмовостійкість при недоступності залежностей.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UI/UX та адаптивність</w:t>
      </w:r>
      <w:r>
        <w:t xml:space="preserve"> </w:t>
      </w:r>
      <w:r>
        <w:t xml:space="preserve">— коректність відображення на мобільних роздільностях (Mantine responsive design), доступність ключових дій за 2-3 кліки.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SEO та аналітика</w:t>
      </w:r>
      <w:r>
        <w:t xml:space="preserve"> </w:t>
      </w:r>
      <w:r>
        <w:t xml:space="preserve">— мета-теги, унікальність контенту сторінок, трекінг подій.</w:t>
      </w:r>
    </w:p>
    <w:bookmarkEnd w:id="30"/>
    <w:bookmarkStart w:id="31" w:name="техніки-тест-дизайну"/>
    <w:p>
      <w:pPr>
        <w:pStyle w:val="Heading2"/>
      </w:pPr>
      <w:r>
        <w:t xml:space="preserve">4.2 Техніки тест-дизайну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Позитивне та негативне тестування</w:t>
      </w:r>
      <w:r>
        <w:t xml:space="preserve"> </w:t>
      </w:r>
      <w:r>
        <w:t xml:space="preserve">— кожен наскрізний домен спроєктовано з рівним розподілом позитивних і негативних сценаріїв (50/50).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Граничні значення та еквівалентні класи</w:t>
      </w:r>
      <w:r>
        <w:t xml:space="preserve"> </w:t>
      </w:r>
      <w:r>
        <w:t xml:space="preserve">— для числових полів (ціна, обсяг, вага), де перевіряються нуль, від’ємні значення та коректні діапазони.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Рольове тестування доступу (RBAC)</w:t>
      </w:r>
      <w:r>
        <w:t xml:space="preserve"> </w:t>
      </w:r>
      <w:r>
        <w:t xml:space="preserve">— систематична перевірка заборони крос-рольових дій (напр. Покупець намагається редагувати чужий товар, Перевізник без верифікації намагається прийняти доставку).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Тестування станів (state-based)</w:t>
      </w:r>
      <w:r>
        <w:t xml:space="preserve"> </w:t>
      </w:r>
      <w:r>
        <w:t xml:space="preserve">— перевірка життєвого циклу сутностей зі статусами (Account Status, Verification Status, статус товару Active/Inactive, статус доставки Available -&gt; Accepted -&gt; In Transit -&gt; Delivered/Cancelled) з фокусом на заборонені переходи.</w:t>
      </w:r>
    </w:p>
    <w:bookmarkEnd w:id="31"/>
    <w:bookmarkStart w:id="32" w:name="пріоритизація"/>
    <w:p>
      <w:pPr>
        <w:pStyle w:val="Heading2"/>
      </w:pPr>
      <w:r>
        <w:t xml:space="preserve">4.3 Пріоритизація</w:t>
      </w:r>
    </w:p>
    <w:p>
      <w:pPr>
        <w:pStyle w:val="FirstParagraph"/>
      </w:pPr>
      <w:r>
        <w:t xml:space="preserve">Високий пріоритет присвоюється кейсам, що покривають: автентифікацію та авторизацію, фінансові транзакції та ескроу-логіку, безпекові негативні сценарії (SQL-ін’єкція, XSS, підробка JWT, неавторизований доступ), і бізнес-правила, що впливають на цілісність замовлень (заборона зменшення обсягу нижче замовленого, заборона подвійного нарахування комісії). Середній пріоритет — розширена функціональність (фільтрація, форвардні закупки, реферальна програма). Низький пріоритет — маркетингові та SEO-перевірки.</w:t>
      </w:r>
    </w:p>
    <w:bookmarkEnd w:id="32"/>
    <w:bookmarkEnd w:id="33"/>
    <w:bookmarkStart w:id="36" w:name="критерії-входу-та-виходу"/>
    <w:p>
      <w:pPr>
        <w:pStyle w:val="Heading1"/>
      </w:pPr>
      <w:r>
        <w:t xml:space="preserve">5. Критерії входу та виходу</w:t>
      </w:r>
    </w:p>
    <w:bookmarkStart w:id="34" w:name="критерії-входу-entry-criteria"/>
    <w:p>
      <w:pPr>
        <w:pStyle w:val="Heading2"/>
      </w:pPr>
      <w:r>
        <w:t xml:space="preserve">5.1 Критерії входу (Entry Criteria)</w:t>
      </w:r>
    </w:p>
    <w:p>
      <w:pPr>
        <w:numPr>
          <w:ilvl w:val="0"/>
          <w:numId w:val="1008"/>
        </w:numPr>
        <w:pStyle w:val="Compact"/>
      </w:pPr>
      <w:r>
        <w:t xml:space="preserve">Тестове середовище розгорнуто та стабільне (backend, frontend, PostgreSQL, RabbitMQ доступні через Docker Compose).</w:t>
      </w:r>
    </w:p>
    <w:p>
      <w:pPr>
        <w:numPr>
          <w:ilvl w:val="0"/>
          <w:numId w:val="1008"/>
        </w:numPr>
        <w:pStyle w:val="Compact"/>
      </w:pPr>
      <w:r>
        <w:t xml:space="preserve">Чек-листи тест-кейсів затверджені та мають унікальні ідентифікатори.</w:t>
      </w:r>
    </w:p>
    <w:p>
      <w:pPr>
        <w:numPr>
          <w:ilvl w:val="0"/>
          <w:numId w:val="1008"/>
        </w:numPr>
        <w:pStyle w:val="Compact"/>
      </w:pPr>
      <w:r>
        <w:t xml:space="preserve">Тестові дані та облікові записи для кожної ролі (Виробник, Покупець, Перевізник, Адмін) підготовлені.</w:t>
      </w:r>
    </w:p>
    <w:bookmarkEnd w:id="34"/>
    <w:bookmarkStart w:id="35" w:name="критерії-виходу-exit-criteria"/>
    <w:p>
      <w:pPr>
        <w:pStyle w:val="Heading2"/>
      </w:pPr>
      <w:r>
        <w:t xml:space="preserve">5.2 Критерії виходу (Exit Criteria)</w:t>
      </w:r>
    </w:p>
    <w:p>
      <w:pPr>
        <w:numPr>
          <w:ilvl w:val="0"/>
          <w:numId w:val="1009"/>
        </w:numPr>
        <w:pStyle w:val="Compact"/>
      </w:pPr>
      <w:r>
        <w:t xml:space="preserve">100% тест-кейсів з пріоритетом «Високий» виконано.</w:t>
      </w:r>
    </w:p>
    <w:p>
      <w:pPr>
        <w:numPr>
          <w:ilvl w:val="0"/>
          <w:numId w:val="1009"/>
        </w:numPr>
        <w:pStyle w:val="Compact"/>
      </w:pPr>
      <w:r>
        <w:t xml:space="preserve">Відсутні відкриті дефекти критичного або блокуючого рівня (Critical/Blocker) в областях автентифікації, платежів та безпеки.</w:t>
      </w:r>
    </w:p>
    <w:p>
      <w:pPr>
        <w:numPr>
          <w:ilvl w:val="0"/>
          <w:numId w:val="1009"/>
        </w:numPr>
        <w:pStyle w:val="Compact"/>
      </w:pPr>
      <w:r>
        <w:t xml:space="preserve">Не менше 95% від загальної кількості запланованих тест-кейсів виконано (PASS/FAIL/SKIP із задокументованою причиною).</w:t>
      </w:r>
    </w:p>
    <w:bookmarkEnd w:id="35"/>
    <w:bookmarkEnd w:id="36"/>
    <w:bookmarkStart w:id="37" w:name="середовище-тестування"/>
    <w:p>
      <w:pPr>
        <w:pStyle w:val="Heading1"/>
      </w:pPr>
      <w:r>
        <w:t xml:space="preserve">6. Середовище тестування</w:t>
      </w:r>
    </w:p>
    <w:p>
      <w:pPr>
        <w:pStyle w:val="FirstParagraph"/>
      </w:pPr>
      <w:r>
        <w:t xml:space="preserve">Тестування проводиться на розгорнутому через Docker Compose оточенні, що відтворює цільовий технологічний стек (Next.js SSR frontend, Spring Boot backend, PostgreSQL, RabbitMQ). Для перевірок відмовостійкості (TECH-N03, TECH-N04, TECH-N05) окремі контейнери свідомо зупиняються для симуляції відмов служб.</w:t>
      </w:r>
    </w:p>
    <w:bookmarkEnd w:id="37"/>
    <w:bookmarkStart w:id="38" w:name="ролі-та-відповідальність"/>
    <w:p>
      <w:pPr>
        <w:pStyle w:val="Heading1"/>
      </w:pPr>
      <w:r>
        <w:t xml:space="preserve">7. Ролі та відповідальність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Відповідальність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QA-інженер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Проєктування тест-кейсів, виконання ручного тестування, оформлення дефектів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Розробники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Виправлення дефектів, підтримка тестового середовища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Продакт-власник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Затвердження критеріїв прийнятності, пріоритизація дефектів</w:t>
            </w:r>
          </w:p>
        </w:tc>
      </w:tr>
    </w:tbl>
    <w:bookmarkEnd w:id="38"/>
    <w:bookmarkStart w:id="39" w:name="ризики-та-мінімізація"/>
    <w:p>
      <w:pPr>
        <w:pStyle w:val="Heading1"/>
      </w:pPr>
      <w:r>
        <w:t xml:space="preserve">8. Ризики та мінімізація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Ризик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Вплив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Мінімізація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Відсутній чек-лист Epic 1 (реєстрація/автентифікація)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Прогалина в покритті базового флоу входу в систему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Пріоритетний запит вихідного файлу; тимчасове покриття суміжними кейсами з домену «Функціонал та ролі»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Складна фінансова логіка (ескроу, форвардні закупки, комісії)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Високий ризик дефектів з фінансовими наслідками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Пріоритет «Високий» для всіх кейсів домену «Економічна модель», окреме регресійне прогонювання при змінах платіжної логіки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Розподілена архітектура (черги повідомлень, зовнішні сервіси)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Складність відтворення збоїв інтеграції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Виділені негативні сценарії відмовостійкості (недоступність БД, черги, контейнерів)</w:t>
            </w:r>
          </w:p>
        </w:tc>
      </w:tr>
    </w:tbl>
    <w:bookmarkEnd w:id="39"/>
    <w:bookmarkStart w:id="40" w:name="артефакти-тестування"/>
    <w:p>
      <w:pPr>
        <w:pStyle w:val="Heading1"/>
      </w:pPr>
      <w:r>
        <w:t xml:space="preserve">9. Артефакти тестування</w:t>
      </w:r>
    </w:p>
    <w:p>
      <w:pPr>
        <w:numPr>
          <w:ilvl w:val="0"/>
          <w:numId w:val="1010"/>
        </w:numPr>
        <w:pStyle w:val="Compact"/>
      </w:pPr>
      <w:r>
        <w:t xml:space="preserve">Уніфіковані чек-листи тестування (окремий документ), 345 тест-кейсів.</w:t>
      </w:r>
    </w:p>
    <w:p>
      <w:pPr>
        <w:numPr>
          <w:ilvl w:val="0"/>
          <w:numId w:val="1010"/>
        </w:numPr>
        <w:pStyle w:val="Compact"/>
      </w:pPr>
      <w:r>
        <w:t xml:space="preserve">Матриця простежуваності вимог (Traceability Matrix) — зв’язок вимог з тест-кейсами.</w:t>
      </w:r>
    </w:p>
    <w:p>
      <w:pPr>
        <w:numPr>
          <w:ilvl w:val="0"/>
          <w:numId w:val="1010"/>
        </w:numPr>
        <w:pStyle w:val="Compact"/>
      </w:pPr>
      <w:r>
        <w:t xml:space="preserve">QA Summary Report — зведений звіт про покриття та готовність до релізу.</w:t>
      </w:r>
    </w:p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тестування — платформа Grassy (Agro-Marketplace)</dc:title>
  <dc:creator>QA документація</dc:creator>
  <cp:keywords/>
  <dcterms:created xsi:type="dcterms:W3CDTF">2026-09-13T18:05:06Z</dcterms:created>
  <dcterms:modified xsi:type="dcterms:W3CDTF">2026-09-13T18:05:06Z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Версія 1.0 · 2026</vt:lpwstr>
  </property>
</Properties>
</file>