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31"/>
        <w:gridCol w:w="2228"/>
        <w:gridCol w:w="5891"/>
      </w:tblGrid>
      <w:tr>
        <w:trPr>
          <w:trHeight w:val="416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Oznaka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</w:p>
        </w:tc>
      </w:tr>
      <w:tr>
        <w:trPr>
          <w:trHeight w:val="422" w:hRule="auto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Naziv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Registracija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člana PKLS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Registracija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 od strane administratora unosom podataka potrebnih da se nalog za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 formira.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a) Primarni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agencije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b) Sekundarni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Aplikacija za administratore, CMIS server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Preduslovi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šini na koju je instalirana klijentska aplikacija za administratora  postoji stabilna internet konekcija. Pokrenut su CMIS server.Nadlezna osoba za registracije je prijavljena  pod nalogom administratora agencije.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Osnovni tok akcija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Administrator agencije odabira opciju za registraciju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Aplikacija prikazuje formu za registraciju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 Administrator agencije unosi podatke za registraciju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Klijentska aplikacija salje unesene podatke na CMIS server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5.CMIS server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urira podatke o nalozima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Aplikacija prikazuje informacije o uspjesnoj registraciji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Postuslovi za osnovni tok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Novi nalog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PKLS je upjesno registrovan.</w:t>
            </w:r>
          </w:p>
        </w:tc>
      </w:tr>
      <w:tr>
        <w:trPr>
          <w:trHeight w:val="1" w:hRule="atLeast"/>
          <w:jc w:val="left"/>
        </w:trPr>
        <w:tc>
          <w:tcPr>
            <w:tcW w:w="34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Alternativni tokovi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