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4A154B"/>
          <w:sz w:val="56"/>
          <w:szCs w:val="56"/>
        </w:rPr>
        <w:t xml:space="preserve">Data Lakehouse Pipeline</w:t>
      </w:r>
    </w:p>
    <w:p>
      <w:pPr>
        <w:spacing w:after="200"/>
        <w:jc w:val="center"/>
      </w:pPr>
      <w:r>
        <w:rPr>
          <w:rFonts w:ascii="Arial" w:cs="Arial" w:eastAsia="Arial" w:hAnsi="Arial"/>
          <w:color w:val="666666"/>
          <w:sz w:val="32"/>
          <w:szCs w:val="32"/>
        </w:rPr>
        <w:t xml:space="preserve">PySpark + Delta Lake — Technical Architecture</w:t>
      </w:r>
    </w:p>
    <w:p>
      <w:pPr>
        <w:spacing w:after="200"/>
        <w:jc w:val="center"/>
      </w:pPr>
      <w:r>
        <w:rPr>
          <w:rFonts w:ascii="Arial" w:cs="Arial" w:eastAsia="Arial" w:hAnsi="Arial"/>
          <w:color w:val="999999"/>
          <w:sz w:val="24"/>
          <w:szCs w:val="24"/>
        </w:rPr>
        <w:t xml:space="preserve">ACME Corp — Data Engineering Team</w:t>
      </w:r>
    </w:p>
    <w:p>
      <w:pPr>
        <w:jc w:val="center"/>
      </w:pPr>
      <w:r>
        <w:rPr>
          <w:i/>
          <w:iCs/>
          <w:color w:val="CC0000"/>
          <w:sz w:val="20"/>
          <w:szCs w:val="20"/>
        </w:rPr>
        <w:t xml:space="preserve">Confidential — For Interview Review Only</w:t>
      </w:r>
    </w:p>
    <w:p>
      <w:r>
        <w:br w:type="page"/>
      </w:r>
    </w:p>
    <w:p>
      <w:pPr>
        <w:pStyle w:val="Heading1"/>
      </w:pPr>
      <w:r>
        <w:t xml:space="preserve">1. System Overview</w:t>
      </w:r>
    </w:p>
    <w:p>
      <w:pPr>
        <w:spacing w:after="200" w:before="0"/>
      </w:pPr>
      <w:r>
        <w:rPr>
          <w:rFonts w:ascii="Arial" w:cs="Arial" w:eastAsia="Arial" w:hAnsi="Arial"/>
          <w:sz w:val="22"/>
          <w:szCs w:val="22"/>
        </w:rPr>
        <w:t xml:space="preserve">This codebase implements a medallion architecture data lakehouse using PySpark and Delta Lake. It ingests data from multiple raw sources (JSON events, CSV customers, Parquet transactions), applies progressive transformations across three layers (Bronze, Silver, Gold), and outputs analytics-ready tables for BI consumption.</w:t>
      </w:r>
    </w:p>
    <w:p>
      <w:pPr>
        <w:spacing w:after="200" w:before="0"/>
      </w:pPr>
      <w:r>
        <w:rPr>
          <w:rFonts w:ascii="Arial" w:cs="Arial" w:eastAsia="Arial" w:hAnsi="Arial"/>
          <w:sz w:val="22"/>
          <w:szCs w:val="22"/>
        </w:rPr>
        <w:t xml:space="preserve">The pipeline follows the medallion pattern, where each layer refines data quality and structure:</w:t>
      </w:r>
    </w:p>
    <w:p>
      <w:pPr>
        <w:spacing w:after="200"/>
        <w:jc w:val="center"/>
      </w:pPr>
      <w:r>
        <w:rPr>
          <w:rFonts w:ascii="Courier New" w:cs="Courier New" w:eastAsia="Courier New" w:hAnsi="Courier New"/>
          <w:b/>
          <w:bCs/>
          <w:sz w:val="20"/>
          <w:szCs w:val="20"/>
        </w:rPr>
        <w:t xml:space="preserve">Bronze (raw + metadata) → Silver (clean + enriched) → Gold (aggregated)</w:t>
      </w:r>
    </w:p>
    <w:p>
      <w:pPr>
        <w:spacing w:after="200" w:before="0"/>
      </w:pPr>
      <w:r>
        <w:rPr>
          <w:rFonts w:ascii="Arial" w:cs="Arial" w:eastAsia="Arial" w:hAnsi="Arial"/>
          <w:sz w:val="22"/>
          <w:szCs w:val="22"/>
        </w:rPr>
        <w:t xml:space="preserve">All tables are stored in Delta Lake format, which provides ACID transactions, schema enforcement, time travel, and efficient upserts (MERGE) on top of object storage (S3).</w:t>
      </w:r>
    </w:p>
    <w:p>
      <w:pPr>
        <w:pStyle w:val="Heading1"/>
      </w:pPr>
      <w:r>
        <w:t xml:space="preserve">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jobs/lakehouse_pipeline.py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orchestrator — runs bronze/silver/gold layers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utils/session.py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 session factory and YAML config loader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utils/transforms.py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transformation functions (bronze, silver, gold)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utils/quality.py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engine with quarantine support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utils/delta_helpers.py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Lake read/write/merge/compact/vacuum utilities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config/pipeline_config.yaml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configuration (sources, layers, quality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tests/test_transforms.py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with pytest + local SparkSession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pyproject.toml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project metadata and dependencies</w:t>
            </w:r>
          </w:p>
        </w:tc>
      </w:tr>
    </w:tbl>
    <w:p>
      <w:pPr>
        <w:pStyle w:val="Heading1"/>
      </w:pPr>
      <w:r>
        <w:t xml:space="preserve">3. Core Components</w:t>
      </w:r>
    </w:p>
    <w:p>
      <w:pPr>
        <w:pStyle w:val="Heading2"/>
      </w:pPr>
      <w:r>
        <w:t xml:space="preserve">3.1 Configuration (session.py + pipeline_config.yaml)</w:t>
      </w:r>
    </w:p>
    <w:p>
      <w:pPr>
        <w:spacing w:after="200" w:before="0"/>
      </w:pPr>
      <w:r>
        <w:rPr>
          <w:rFonts w:ascii="Arial" w:cs="Arial" w:eastAsia="Arial" w:hAnsi="Arial"/>
          <w:sz w:val="22"/>
          <w:szCs w:val="22"/>
        </w:rPr>
        <w:t xml:space="preserve">The configuration is defined in YAML and loaded by session.py. It contains four main sections: (1) Spark session settings including Delta Lake extensions and Adaptive Query Execution, (2) source definitions with format, path, and read options, (3) layer definitions specifying Delta table paths and write modes (append, merge, overwrite) per layer, and (4) quality check rules with severity levels.</w:t>
      </w:r>
    </w:p>
    <w:p>
      <w:pPr>
        <w:spacing w:after="200" w:before="0"/>
      </w:pPr>
      <w:r>
        <w:rPr>
          <w:rFonts w:ascii="Arial" w:cs="Arial" w:eastAsia="Arial" w:hAnsi="Arial"/>
          <w:sz w:val="22"/>
          <w:szCs w:val="22"/>
        </w:rPr>
        <w:t xml:space="preserve">The config loader supports environment overlays (e.g., dev.yaml overrides production defaults), though the merge logic has a known bug: it performs a shallow dictionary update, so setting one Spark config in dev.yaml wipes all production Spark configs.</w:t>
      </w:r>
    </w:p>
    <w:p>
      <w:pPr>
        <w:pStyle w:val="Heading2"/>
      </w:pPr>
      <w:r>
        <w:t xml:space="preserve">3.2 Transforms (transforms.py)</w:t>
      </w:r>
    </w:p>
    <w:p>
      <w:pPr>
        <w:spacing w:after="200" w:before="0"/>
      </w:pPr>
      <w:r>
        <w:rPr>
          <w:rFonts w:ascii="Arial" w:cs="Arial" w:eastAsia="Arial" w:hAnsi="Arial"/>
          <w:sz w:val="22"/>
          <w:szCs w:val="22"/>
        </w:rPr>
        <w:t xml:space="preserve">The transformation layer follows a "DataFrames in, DataFrames out" pattern. Every function is a pure transform — it takes a DataFrame, applies logic, and returns a new DataFrame. This makes each transform independently testable and composable.</w:t>
      </w:r>
    </w:p>
    <w:p>
      <w:pPr>
        <w:spacing w:after="200"/>
      </w:pPr>
      <w:r>
        <w:rPr>
          <w:rFonts w:ascii="Arial" w:cs="Arial" w:eastAsia="Arial" w:hAnsi="Arial"/>
          <w:b/>
          <w:bCs/>
          <w:sz w:val="22"/>
          <w:szCs w:val="22"/>
        </w:rPr>
        <w:t xml:space="preserve">Bronze transforms: </w:t>
      </w:r>
      <w:r>
        <w:rPr>
          <w:rFonts w:ascii="Arial" w:cs="Arial" w:eastAsia="Arial" w:hAnsi="Arial"/>
          <w:sz w:val="22"/>
          <w:szCs w:val="22"/>
        </w:rPr>
        <w:t xml:space="preserve">standardize_columns() normalizes column names (lowercase, underscores). add_ingestion_metadata() stamps every row with ingestion timestamp, source name, and pipeline version. quarantine_corrupt_records() splits malformed JSON rows from valid ones.</w:t>
      </w:r>
    </w:p>
    <w:p>
      <w:pPr>
        <w:spacing w:after="200"/>
      </w:pPr>
      <w:r>
        <w:rPr>
          <w:rFonts w:ascii="Arial" w:cs="Arial" w:eastAsia="Arial" w:hAnsi="Arial"/>
          <w:b/>
          <w:bCs/>
          <w:sz w:val="22"/>
          <w:szCs w:val="22"/>
        </w:rPr>
        <w:t xml:space="preserve">Silver transforms: </w:t>
      </w:r>
      <w:r>
        <w:rPr>
          <w:rFonts w:ascii="Arial" w:cs="Arial" w:eastAsia="Arial" w:hAnsi="Arial"/>
          <w:sz w:val="22"/>
          <w:szCs w:val="22"/>
        </w:rPr>
        <w:t xml:space="preserve">deduplicate_events() uses window functions (ROW_NUMBER with PARTITION BY + ORDER BY DESC) to keep only the latest version of each event. enrich_customers() joins customer profiles with aggregated event metrics. compute_customer_segments() applies hardcoded business rules to assign segments. parse_event_properties() extracts structured fields from JSON strings.</w:t>
      </w:r>
    </w:p>
    <w:p>
      <w:pPr>
        <w:spacing w:after="200"/>
      </w:pPr>
      <w:r>
        <w:rPr>
          <w:rFonts w:ascii="Arial" w:cs="Arial" w:eastAsia="Arial" w:hAnsi="Arial"/>
          <w:b/>
          <w:bCs/>
          <w:sz w:val="22"/>
          <w:szCs w:val="22"/>
        </w:rPr>
        <w:t xml:space="preserve">Gold transforms: </w:t>
      </w:r>
      <w:r>
        <w:rPr>
          <w:rFonts w:ascii="Arial" w:cs="Arial" w:eastAsia="Arial" w:hAnsi="Arial"/>
          <w:sz w:val="22"/>
          <w:szCs w:val="22"/>
        </w:rPr>
        <w:t xml:space="preserve">build_daily_summary() aggregates events by date, type, and region for dashboards. build_customer_lifetime_value() computes CLV scores by joining customers with transaction metrics.</w:t>
      </w:r>
    </w:p>
    <w:p>
      <w:pPr>
        <w:pStyle w:val="Heading2"/>
      </w:pPr>
      <w:r>
        <w:t xml:space="preserve">3.3 Data Quality Engine (quality.py)</w:t>
      </w:r>
    </w:p>
    <w:p>
      <w:pPr>
        <w:spacing w:after="200" w:before="0"/>
      </w:pPr>
      <w:r>
        <w:rPr>
          <w:rFonts w:ascii="Arial" w:cs="Arial" w:eastAsia="Arial" w:hAnsi="Arial"/>
          <w:sz w:val="22"/>
          <w:szCs w:val="22"/>
        </w:rPr>
        <w:t xml:space="preserve">The quality engine runs configurable checks against DataFrames. Each check has a name, target column, rule type (not_null, regex, greater_than, less_than_or_equal, unique), and a severity level (warning or critical).</w:t>
      </w:r>
    </w:p>
    <w:p>
      <w:pPr>
        <w:spacing w:after="200" w:before="0"/>
      </w:pPr>
      <w:r>
        <w:rPr>
          <w:rFonts w:ascii="Arial" w:cs="Arial" w:eastAsia="Arial" w:hAnsi="Arial"/>
          <w:sz w:val="22"/>
          <w:szCs w:val="22"/>
        </w:rPr>
        <w:t xml:space="preserve">For critical failures, the engine removes failing rows from the main DataFrame and routes them to a quarantine zone in Parquet format. Warnings are logged but data flows through. If fail_on_error is set, a DataQualityError exception halts the entire pipeline on critical failures.</w:t>
      </w:r>
    </w:p>
    <w:p>
      <w:pPr>
        <w:spacing w:after="200" w:before="0"/>
      </w:pPr>
      <w:r>
        <w:rPr>
          <w:rFonts w:ascii="Arial" w:cs="Arial" w:eastAsia="Arial" w:hAnsi="Arial"/>
          <w:sz w:val="22"/>
          <w:szCs w:val="22"/>
        </w:rPr>
        <w:t xml:space="preserve">The engine converts each rule into a SQL WHERE clause via build_filter(), then uses df.filter() to find failing rows. This approach is simple but has a significant performance issue: it calls .count() for every check, triggering a full DataFrame scan each time (N checks = N scans).</w:t>
      </w:r>
    </w:p>
    <w:p>
      <w:pPr>
        <w:pStyle w:val="Heading2"/>
      </w:pPr>
      <w:r>
        <w:t xml:space="preserve">3.4 Delta Lake Helpers (delta_helpers.py)</w:t>
      </w:r>
    </w:p>
    <w:p>
      <w:pPr>
        <w:spacing w:after="200" w:before="0"/>
      </w:pPr>
      <w:r>
        <w:rPr>
          <w:rFonts w:ascii="Arial" w:cs="Arial" w:eastAsia="Arial" w:hAnsi="Arial"/>
          <w:sz w:val="22"/>
          <w:szCs w:val="22"/>
        </w:rPr>
        <w:t xml:space="preserve">The Delta helpers wrap common operations: read_delta() supports time travel via version numbers. write_delta() dispatches to append, overwrite, or merge modes. The _delta_merge() function implements an upsert pattern: match rows by a key, update matches, insert non-matches.</w:t>
      </w:r>
    </w:p>
    <w:p>
      <w:pPr>
        <w:spacing w:after="200" w:before="0"/>
      </w:pPr>
      <w:r>
        <w:rPr>
          <w:rFonts w:ascii="Arial" w:cs="Arial" w:eastAsia="Arial" w:hAnsi="Arial"/>
          <w:sz w:val="22"/>
          <w:szCs w:val="22"/>
        </w:rPr>
        <w:t xml:space="preserve">Two maintenance functions are included: compact_table() runs Delta OPTIMIZE to reduce small file proliferation (the "small files problem" is one of the most common performance killers on data lakes). vacuum_table() removes old versions to reclaim storage, trading away time travel history.</w:t>
      </w:r>
    </w:p>
    <w:p>
      <w:pPr>
        <w:pStyle w:val="Heading2"/>
      </w:pPr>
      <w:r>
        <w:t xml:space="preserve">3.5 Pipeline Orchestrator (lakehouse_pipeline.py)</w:t>
      </w:r>
    </w:p>
    <w:p>
      <w:pPr>
        <w:spacing w:after="200" w:before="0"/>
      </w:pPr>
      <w:r>
        <w:rPr>
          <w:rFonts w:ascii="Arial" w:cs="Arial" w:eastAsia="Arial" w:hAnsi="Arial"/>
          <w:sz w:val="22"/>
          <w:szCs w:val="22"/>
        </w:rPr>
        <w:t xml:space="preserve">The main entry point ties everything together. It parses CLI arguments (config path, environment, which layers to run, date override), creates the Spark session, and runs each layer sequentially.</w:t>
      </w:r>
    </w:p>
    <w:p>
      <w:pPr>
        <w:spacing w:after="200" w:before="0"/>
      </w:pPr>
      <w:r>
        <w:rPr>
          <w:rFonts w:ascii="Arial" w:cs="Arial" w:eastAsia="Arial" w:hAnsi="Arial"/>
          <w:sz w:val="22"/>
          <w:szCs w:val="22"/>
        </w:rPr>
        <w:t xml:space="preserve">Each layer function (run_bronze_layer, run_silver_layer, run_gold_layer) follows the same pattern: read input data, apply transforms, run quality checks (silver only), write output. Metrics are collected per-layer and logged at the end.</w:t>
      </w:r>
    </w:p>
    <w:p>
      <w:pPr>
        <w:spacing w:after="200" w:before="0"/>
      </w:pPr>
      <w:r>
        <w:rPr>
          <w:rFonts w:ascii="Arial" w:cs="Arial" w:eastAsia="Arial" w:hAnsi="Arial"/>
          <w:sz w:val="22"/>
          <w:szCs w:val="22"/>
        </w:rPr>
        <w:t xml:space="preserve">Error handling wraps the entire pipeline in a try/except/finally block. DataQualityError is caught separately for targeted alerting. The finally block ensures spark.stop() is always called and total elapsed time is logged.</w:t>
      </w:r>
    </w:p>
    <w:p>
      <w:pPr>
        <w:pStyle w:val="Heading2"/>
      </w:pPr>
      <w:r>
        <w:t xml:space="preserve">3.6 Testing (test_transforms.py)</w:t>
      </w:r>
    </w:p>
    <w:p>
      <w:pPr>
        <w:spacing w:after="200" w:before="0"/>
      </w:pPr>
      <w:r>
        <w:rPr>
          <w:rFonts w:ascii="Arial" w:cs="Arial" w:eastAsia="Arial" w:hAnsi="Arial"/>
          <w:sz w:val="22"/>
          <w:szCs w:val="22"/>
        </w:rPr>
        <w:t xml:space="preserve">Tests use pytest with a session-scoped SparkSession fixture. Each test creates small in-memory DataFrames to verify transform logic. Notable: TestEnrichCustomers.test_inner_join_drops_customers_without_events explicitly documents the inner join bug by asserting the incorrect behavior.</w:t>
      </w:r>
    </w:p>
    <w:p>
      <w:pPr>
        <w:pStyle w:val="Heading1"/>
      </w:pPr>
      <w:r>
        <w:t xml:space="preserve">4. Key Design Patterns</w:t>
      </w:r>
    </w:p>
    <w:p>
      <w:pPr>
        <w:pStyle w:val="ListParagraph"/>
        <w:numPr>
          <w:ilvl w:val="0"/>
          <w:numId w:val="2"/>
        </w:numPr>
        <w:spacing w:after="80"/>
      </w:pPr>
      <w:r>
        <w:rPr>
          <w:rFonts w:ascii="Arial" w:cs="Arial" w:eastAsia="Arial" w:hAnsi="Arial"/>
          <w:b/>
          <w:bCs/>
          <w:sz w:val="22"/>
          <w:szCs w:val="22"/>
        </w:rPr>
        <w:t xml:space="preserve">Medallion Architecture: </w:t>
      </w:r>
      <w:r>
        <w:rPr>
          <w:rFonts w:ascii="Arial" w:cs="Arial" w:eastAsia="Arial" w:hAnsi="Arial"/>
          <w:sz w:val="22"/>
          <w:szCs w:val="22"/>
        </w:rPr>
        <w:t xml:space="preserve">Bronze/Silver/Gold layers progressively refine data quality. Each layer has a single responsibility: Bronze = ingest and audit, Silver = clean and enrich, Gold = aggregate for consumption.</w:t>
      </w:r>
    </w:p>
    <w:p>
      <w:pPr>
        <w:pStyle w:val="ListParagraph"/>
        <w:numPr>
          <w:ilvl w:val="0"/>
          <w:numId w:val="2"/>
        </w:numPr>
        <w:spacing w:after="80"/>
      </w:pPr>
      <w:r>
        <w:rPr>
          <w:rFonts w:ascii="Arial" w:cs="Arial" w:eastAsia="Arial" w:hAnsi="Arial"/>
          <w:b/>
          <w:bCs/>
          <w:sz w:val="22"/>
          <w:szCs w:val="22"/>
        </w:rPr>
        <w:t xml:space="preserve">DataFrame-in/DataFrame-out: </w:t>
      </w:r>
      <w:r>
        <w:rPr>
          <w:rFonts w:ascii="Arial" w:cs="Arial" w:eastAsia="Arial" w:hAnsi="Arial"/>
          <w:sz w:val="22"/>
          <w:szCs w:val="22"/>
        </w:rPr>
        <w:t xml:space="preserve">All transforms are pure functions on DataFrames, making them composable, testable, and stateless.</w:t>
      </w:r>
    </w:p>
    <w:p>
      <w:pPr>
        <w:pStyle w:val="ListParagraph"/>
        <w:numPr>
          <w:ilvl w:val="0"/>
          <w:numId w:val="2"/>
        </w:numPr>
        <w:spacing w:after="80"/>
      </w:pPr>
      <w:r>
        <w:rPr>
          <w:rFonts w:ascii="Arial" w:cs="Arial" w:eastAsia="Arial" w:hAnsi="Arial"/>
          <w:b/>
          <w:bCs/>
          <w:sz w:val="22"/>
          <w:szCs w:val="22"/>
        </w:rPr>
        <w:t xml:space="preserve">Schema-on-Read vs Schema-on-Write: </w:t>
      </w:r>
      <w:r>
        <w:rPr>
          <w:rFonts w:ascii="Arial" w:cs="Arial" w:eastAsia="Arial" w:hAnsi="Arial"/>
          <w:sz w:val="22"/>
          <w:szCs w:val="22"/>
        </w:rPr>
        <w:t xml:space="preserve">Bronze uses permissive/inferred schemas (schema-on-read). Silver and Gold enforce schemas via Delta Lake (schema-on-write).</w:t>
      </w:r>
    </w:p>
    <w:p>
      <w:pPr>
        <w:pStyle w:val="ListParagraph"/>
        <w:numPr>
          <w:ilvl w:val="0"/>
          <w:numId w:val="2"/>
        </w:numPr>
        <w:spacing w:after="80"/>
      </w:pPr>
      <w:r>
        <w:rPr>
          <w:rFonts w:ascii="Arial" w:cs="Arial" w:eastAsia="Arial" w:hAnsi="Arial"/>
          <w:b/>
          <w:bCs/>
          <w:sz w:val="22"/>
          <w:szCs w:val="22"/>
        </w:rPr>
        <w:t xml:space="preserve">Upsert via Delta MERGE: </w:t>
      </w:r>
      <w:r>
        <w:rPr>
          <w:rFonts w:ascii="Arial" w:cs="Arial" w:eastAsia="Arial" w:hAnsi="Arial"/>
          <w:sz w:val="22"/>
          <w:szCs w:val="22"/>
        </w:rPr>
        <w:t xml:space="preserve">Silver customers use merge mode for idempotent writes. Running the pipeline twice with the same data produces the same result.</w:t>
      </w:r>
    </w:p>
    <w:p>
      <w:pPr>
        <w:pStyle w:val="ListParagraph"/>
        <w:numPr>
          <w:ilvl w:val="0"/>
          <w:numId w:val="2"/>
        </w:numPr>
        <w:spacing w:after="80"/>
      </w:pPr>
      <w:r>
        <w:rPr>
          <w:rFonts w:ascii="Arial" w:cs="Arial" w:eastAsia="Arial" w:hAnsi="Arial"/>
          <w:b/>
          <w:bCs/>
          <w:sz w:val="22"/>
          <w:szCs w:val="22"/>
        </w:rPr>
        <w:t xml:space="preserve">Quarantine Pattern: </w:t>
      </w:r>
      <w:r>
        <w:rPr>
          <w:rFonts w:ascii="Arial" w:cs="Arial" w:eastAsia="Arial" w:hAnsi="Arial"/>
          <w:sz w:val="22"/>
          <w:szCs w:val="22"/>
        </w:rPr>
        <w:t xml:space="preserve">Bad records are routed to a separate path instead of being silently dropped, enabling investigation and reprocessing.</w:t>
      </w:r>
    </w:p>
    <w:p>
      <w:pPr>
        <w:pStyle w:val="ListParagraph"/>
        <w:numPr>
          <w:ilvl w:val="0"/>
          <w:numId w:val="2"/>
        </w:numPr>
        <w:spacing w:after="80"/>
      </w:pPr>
      <w:r>
        <w:rPr>
          <w:rFonts w:ascii="Arial" w:cs="Arial" w:eastAsia="Arial" w:hAnsi="Arial"/>
          <w:b/>
          <w:bCs/>
          <w:sz w:val="22"/>
          <w:szCs w:val="22"/>
        </w:rPr>
        <w:t xml:space="preserve">Adaptive Query Execution: </w:t>
      </w:r>
      <w:r>
        <w:rPr>
          <w:rFonts w:ascii="Arial" w:cs="Arial" w:eastAsia="Arial" w:hAnsi="Arial"/>
          <w:sz w:val="22"/>
          <w:szCs w:val="22"/>
        </w:rPr>
        <w:t xml:space="preserve">Spark AQE is enabled to dynamically optimize shuffle partitions at runtime, avoiding the classic 200-partitions default problem.</w:t>
      </w:r>
    </w:p>
    <w:p>
      <w:r>
        <w:br w:type="page"/>
      </w:r>
    </w:p>
    <w:p>
      <w:pPr>
        <w:pStyle w:val="Heading1"/>
      </w:pPr>
      <w:r>
        <w:t xml:space="preserve">5. Known Issues &amp; Discussion Points</w:t>
      </w:r>
    </w:p>
    <w:p>
      <w:pPr>
        <w:pStyle w:val="ListParagraph"/>
        <w:numPr>
          <w:ilvl w:val="0"/>
          <w:numId w:val="3"/>
        </w:numPr>
        <w:spacing w:after="100"/>
      </w:pPr>
      <w:r>
        <w:rPr>
          <w:b/>
          <w:bCs/>
        </w:rPr>
        <w:t xml:space="preserve">Inner join drops customers: </w:t>
      </w:r>
      <w:r>
        <w:t xml:space="preserve">enrich_customers() uses how="inner", silently dropping customers with zero events from the customer 360 view. Should be "left".</w:t>
      </w:r>
    </w:p>
    <w:p>
      <w:pPr>
        <w:pStyle w:val="ListParagraph"/>
        <w:numPr>
          <w:ilvl w:val="0"/>
          <w:numId w:val="3"/>
        </w:numPr>
        <w:spacing w:after="100"/>
      </w:pPr>
      <w:r>
        <w:rPr>
          <w:b/>
          <w:bCs/>
        </w:rPr>
        <w:t xml:space="preserve">Quality engine triggers N full scans: </w:t>
      </w:r>
      <w:r>
        <w:t xml:space="preserve">validate() calls .count() for total rows upfront, then .count() per check. With 4 checks, the DataFrame is scanned 5 times. Should use a single pass with conditional aggregation.</w:t>
      </w:r>
    </w:p>
    <w:p>
      <w:pPr>
        <w:pStyle w:val="ListParagraph"/>
        <w:numPr>
          <w:ilvl w:val="0"/>
          <w:numId w:val="3"/>
        </w:numPr>
        <w:spacing w:after="100"/>
      </w:pPr>
      <w:r>
        <w:rPr>
          <w:b/>
          <w:bCs/>
        </w:rPr>
        <w:t xml:space="preserve">Silver events hardcoded to append: </w:t>
      </w:r>
      <w:r>
        <w:t xml:space="preserve">run_silver_layer() ignores the config and always appends events, causing duplicates across pipeline re-runs. Should use merge or date-partition overwrite.</w:t>
      </w:r>
    </w:p>
    <w:p>
      <w:pPr>
        <w:pStyle w:val="ListParagraph"/>
        <w:numPr>
          <w:ilvl w:val="0"/>
          <w:numId w:val="3"/>
        </w:numPr>
        <w:spacing w:after="100"/>
      </w:pPr>
      <w:r>
        <w:rPr>
          <w:b/>
          <w:bCs/>
        </w:rPr>
        <w:t xml:space="preserve">Transactions skip Silver layer: </w:t>
      </w:r>
      <w:r>
        <w:t xml:space="preserve">run_gold_layer() reads transactions directly from bronze, bypassing dedup and quality checks. Gold tables are built from uncleaned data.</w:t>
      </w:r>
    </w:p>
    <w:p>
      <w:pPr>
        <w:pStyle w:val="ListParagraph"/>
        <w:numPr>
          <w:ilvl w:val="0"/>
          <w:numId w:val="3"/>
        </w:numPr>
        <w:spacing w:after="100"/>
      </w:pPr>
      <w:r>
        <w:rPr>
          <w:b/>
          <w:bCs/>
        </w:rPr>
        <w:t xml:space="preserve">CLV division by zero: </w:t>
      </w:r>
      <w:r>
        <w:t xml:space="preserve">build_customer_lifetime_value() divides by months_since_first_purchase, which is 0 for same-day signups. Produces null/infinity CLV scores.</w:t>
      </w:r>
    </w:p>
    <w:p>
      <w:pPr>
        <w:pStyle w:val="ListParagraph"/>
        <w:numPr>
          <w:ilvl w:val="0"/>
          <w:numId w:val="3"/>
        </w:numPr>
        <w:spacing w:after="100"/>
      </w:pPr>
      <w:r>
        <w:rPr>
          <w:b/>
          <w:bCs/>
        </w:rPr>
        <w:t xml:space="preserve">Global sort in Gold: </w:t>
      </w:r>
      <w:r>
        <w:t xml:space="preserve">build_daily_summary() ends with .orderBy() which triggers a global shuffle sort. Unnecessary for a table that will be queried with its own ORDER BY.</w:t>
      </w:r>
    </w:p>
    <w:p>
      <w:pPr>
        <w:pStyle w:val="ListParagraph"/>
        <w:numPr>
          <w:ilvl w:val="0"/>
          <w:numId w:val="3"/>
        </w:numPr>
        <w:spacing w:after="100"/>
      </w:pPr>
      <w:r>
        <w:rPr>
          <w:b/>
          <w:bCs/>
        </w:rPr>
        <w:t xml:space="preserve">Shallow config merge: </w:t>
      </w:r>
      <w:r>
        <w:t xml:space="preserve">load_config() uses dict.update(), which replaces entire nested sections instead of deep-merging them. One dev.yaml Spark setting wipes all production Spark settings.</w:t>
      </w:r>
    </w:p>
    <w:p>
      <w:pPr>
        <w:pStyle w:val="ListParagraph"/>
        <w:numPr>
          <w:ilvl w:val="0"/>
          <w:numId w:val="3"/>
        </w:numPr>
        <w:spacing w:after="100"/>
      </w:pPr>
      <w:r>
        <w:rPr>
          <w:b/>
          <w:bCs/>
        </w:rPr>
        <w:t xml:space="preserve">Quarantine union mismatch: </w:t>
      </w:r>
      <w:r>
        <w:t xml:space="preserve">QualityEngine.validate() uses union() to combine quarantine frames from different checks. If checks fail on different columns, schemas won’t align and it will throw an error.</w:t>
      </w:r>
    </w:p>
    <w:p>
      <w:pPr>
        <w:pStyle w:val="ListParagraph"/>
        <w:numPr>
          <w:ilvl w:val="0"/>
          <w:numId w:val="3"/>
        </w:numPr>
        <w:spacing w:after="100"/>
      </w:pPr>
      <w:r>
        <w:rPr>
          <w:b/>
          <w:bCs/>
        </w:rPr>
        <w:t xml:space="preserve">No delete handling in MERGE: </w:t>
      </w:r>
      <w:r>
        <w:t xml:space="preserve">_delta_merge() has no whenNotMatchedBySourceDelete(). Records deleted in the source system persist forever in the target table.</w:t>
      </w:r>
    </w:p>
    <w:p>
      <w:pPr>
        <w:pStyle w:val="ListParagraph"/>
        <w:numPr>
          <w:ilvl w:val="0"/>
          <w:numId w:val="3"/>
        </w:numPr>
        <w:spacing w:after="100"/>
      </w:pPr>
      <w:r>
        <w:rPr>
          <w:b/>
          <w:bCs/>
        </w:rPr>
        <w:t xml:space="preserve">Hardcoded segmentation thresholds: </w:t>
      </w:r>
      <w:r>
        <w:t xml:space="preserve">compute_customer_segments() bakes business rules (100+ events = power_user) into code. Changes require a code deploy instead of a config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5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154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2026-02-19T22:35:11.123Z</dcterms:created>
  <dcterms:modified xsi:type="dcterms:W3CDTF">2026-02-19T22:35:11.124Z</dcterms:modified>
</cp:coreProperties>
</file>

<file path=docProps/custom.xml><?xml version="1.0" encoding="utf-8"?>
<Properties xmlns="http://schemas.openxmlformats.org/officeDocument/2006/custom-properties" xmlns:vt="http://schemas.openxmlformats.org/officeDocument/2006/docPropsVTypes"/>
</file>