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Sociodemographic Factors Associated with Cannabis Use Disorder (CUD)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Among adolescents reporting past-year cannabis use (Multivariable Analysis)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Age: 14–15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(0.86–2.06)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Age: 16–17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(0.87–2.14)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(0.96–1.35)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(0.87–1.38)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AIAN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(0.57–3.04)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NHPI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(0.38–6.30)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(0.66–2.74)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Multiracial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(0.64–1.52)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Race: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(1.13–1.92)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&lt;$10k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(0.71–1.91)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$10–19k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(0.86–1.60)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$20–29k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(0.74–1.49)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$30–39k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(0.90–1.78)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$40–49k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(0.77–1.70)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Income: $50–74k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(0.69–1.09)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Year: 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(0.65–1.18)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Year: 2023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(0.55–1.09)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Year: 2024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(0.68–1.24)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Abbreviations: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aOR</w:t>
            </w:r>
            <w:r>
              <w:rPr>
                <w:rFonts w:ascii="Calibri" w:hAnsi="Calibri"/>
                <w:sz w:val="20"/>
              </w:rPr>
              <w:t xml:space="preserve">: Adjusted Odds Ratio; </w:t>
            </w:r>
            <w:r>
              <w:rPr>
                <w:b w:val="true"/>
                <w:rFonts w:ascii="Calibri" w:hAnsi="Calibri"/>
                <w:sz w:val="20"/>
              </w:rPr>
              <w:t xml:space="preserve">CI</w:t>
            </w:r>
            <w:r>
              <w:rPr>
                <w:rFonts w:ascii="Calibri" w:hAnsi="Calibri"/>
                <w:sz w:val="20"/>
              </w:rPr>
              <w:t xml:space="preserve">: Confidence Interval.</w:t>
            </w:r>
          </w:p>
          <w:p>
            <w:pPr>
              <w:pStyle w:val="Macro Text"/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   **Note:** Model adjusted for age, sex, race/ethnicity, income, and year. Reference groups: Age 12-13, Male, White, High Income.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2026-01-29T04:01:01Z</dcterms:created>
  <dcterms:modified xsi:type="dcterms:W3CDTF">2026-01-29T04:01:01Z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