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Characteristics of the Study Population: U.S. Adolescents Aged 12–17 Years, NSDUH 2021–2024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Weighted Prevalence (95% CI)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51.07 (49.15, 52.99)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51.15 (49.43, 52.87)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51.15 (49.38, 52.91)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51.15 (49.78, 52.53)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48.93 (47.01, 50.85)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48.85 (47.13, 50.57)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48.85 (47.09, 50.62)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48.85 (47.47, 50.22)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12–13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34.04 (32.53, 35.56)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32.94 (31.55, 34.33)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31.14 (29.95, 32.33)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30.83 (29.17, 32.49)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14–15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32.56 (31.07, 34.05)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35.25 (33.85, 36.64)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34.95 (33.54, 36.37)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34.48 (32.89, 36.07)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16–17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33.40 (31.96, 34.84)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31.81 (30.43, 33.19)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33.91 (32.64, 35.18)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34.69 (33.01, 36.37)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50.51 (47.84, 53.18)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49.92 (47.81, 52.03)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49.43 (47.75, 51.11)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48.67 (46.86, 50.48)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13.55 (12.23, 14.87)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13.64 (12.56, 14.72)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13.88 (12.60, 15.16)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13.76 (12.37, 15.15)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(0.36, 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(0.62, 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(0.66, 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 (0.71, 1.04)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(0.24,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(0.11, 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(0.17,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(0.18, 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(4.50, 6.75)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6.29 (4.81, 7.77)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5.60 (4.83, 6.38)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 (4.57, 6.56)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Multiracial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3.49 (2.81, 4.16)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3.25 (2.81, 3.68)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3.66 (3.17, 4.14)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4.18 (3.87, 4.49)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25.55 (23.13, 27.97)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25.85 (23.83, 27.86)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26.24 (24.12, 28.37)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26.60 (24.86, 28.33)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County 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Large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53.94 (50.79, 57.10)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57.68 (55.34, 60.01)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54.77 (52.32, 57.23)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56.75 (54.74, 58.77)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Small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30.85 (27.88, 33.82)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31.02 (28.90, 33.15)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32.46 (30.18, 34.75)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32.25 (30.12, 34.39)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15.20 (13.35, 17.05)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11.30 (9.95, 12.64)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12.76 (11.39, 14.14)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10.99 (9.67, 12.32)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Population density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≥1M CBSA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52.90 (49.68, 56.11)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56.37 (54.05, 58.68)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52.64 (50.15, 55.13)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54.87 (52.79, 56.94)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&lt;1M CBSA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40.60 (37.21, 43.98)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38.99 (36.82, 41.15)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41.45 (39.09, 43.81)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40.24 (38.19, 42.29)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Non-CBSA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6.50 (5.03, 7.98)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4.65 (3.80, 5.50)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5.91 (4.79, 7.02)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4.89 (3.73, 6.05)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 insurance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94.90 (93.89, 95.91)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96.08 (95.27, 96.88)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95.17 (94.32, 96.03)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95.34 (94.51, 96.18)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 (4.09, 6.11)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3.92 (3.12, 4.73)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4.83 (3.97, 5.68)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(3.82, 5.49)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Family income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&lt;$10k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5.61 (4.83, 6.39)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5.33 (4.58, 6.08)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5.04 (4.39, 5.69)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4.92 (4.42, 5.42)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$10–19k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8.84 (7.84, 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7.90 (7.16, 8.64)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(6.77, 8.85)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7.14 (6.28, 8.00)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$20–29k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8.69 (7.73, 9.65)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8.16 (7.18, 9.13)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7.03 (6.22, 7.84)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6.97 (6.05, 7.89)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$30–39k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8.84 (7.81, 9.86)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7.69 (6.93, 8.44)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8.62 (7.79, 9.45)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7.42 (6.45, 8.40)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$40–49k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9.40 (8.14, 10.65)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8.73 (7.77, 9.69)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8.41 (7.48, 9.34)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7.49 (6.57, 8.40)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$50–74k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13.38 (12.09, 14.67)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13.42 (12.49, 14.36)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13.00 (11.92, 14.08)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12.92 (12.11, 13.73)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≥$75k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45.24 (42.29, 48.19)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48.77 (46.64, 50.91)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50.09 (48.05, 52.13)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53.14 (51.28, 55.01)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Poverty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Living in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20.94 (18.72, 23.17)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20.37 (18.68, 22.07)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21.93 (20.43, 23.43)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21.31 (19.65, 22.97)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≤2× Federal Poverty Threshold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21.71 (20.02, 23.40)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22.38 (20.86, 23.91)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20.71 (19.26, 22.17)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20.11 (18.63, 21.59)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&gt;2× Federal Poverty Threshold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57.35 (54.52, 60.17)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57.25 (54.97, 59.52)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57.36 (55.38, 59.33)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58.58 (56.73, 60.43)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Marijuana use in the past year (binary)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10.85 (9.71, 11.98)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11.40 (10.68, 12.12)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10.97 (10.16, 11.77)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10.10 (9.21, 10.99)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89.15 (88.02, 90.29)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88.60 (87.88, 89.32)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89.03 (88.23, 89.84)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89.90 (89.01, 90.79)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Marijuana use in the past 30 days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5.83 (4.95, 6.71)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6.02 (5.44, 6.60)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 (5.17, 6.69)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5.73 (5.09, 6.37)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7.05 (6.13, 7.97)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7.36 (6.49, 8.23)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7.24 (6.65, 7.83)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6.88 (6.06, 7.70)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used/Unknown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87.12 (85.82, 88.42)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86.62 (85.77, 87.47)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86.83 (85.92, 87.74)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87.39 (86.27, 88.51)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Marijuana Use Disorder in the past 12 months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5.23 (4.34, 6.13)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5.16 (4.66, 5.67)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4.61 (4.00, 5.22)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4.65 (4.05, 5.24)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94.77 (93.87, 95.66)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94.84 (94.33, 95.34)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95.39 (94.78, 96.00)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95.35 (94.76, 95.95)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Past-year MDE or SUD Status (DSM-5 criteria)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25.23 (23.60, 26.87)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23.90 (22.59, 25.21)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22.26 (21.04, 23.47)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18.92 (17.88, 19.96)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71.04 (69.40, 72.68)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72.70 (71.25, 74.15)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74.21 (72.89, 75.54)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77.95 (76.80, 79.10)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3.73 (3.17, 4.28)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 (2.96, 3.84)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3.53 (3.00, 4.06)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 (2.64, 3.63)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Past-year MDE and SUD Categories (DSM-5 criteria)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5.17 (4.33, 6.01)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4.91 (4.30, 5.53)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(3.97, 5.35)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4.32 (3.84, 4.79)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15.77 (14.57, 16.97)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15.12 (14.09, 16.15)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13.81 (12.70, 14.92)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11.19 (10.38, 11.99)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 and MDE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 (3.41, 4.44)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3.47 (2.97, 3.96)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3.32 (2.90, 3.74)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 (2.54, 3.75)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Neither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71.04 (69.40, 72.68)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72.70 (71.25, 74.15)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74.21 (72.89, 75.54)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77.95 (76.80, 79.10)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4.09 (3.54, 4.64)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3.80 (3.31, 4.30)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(3.45, 4.54)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 (2.91, 3.90)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Abbreviations: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b w:val="true"/>
                <w:rFonts w:ascii="Calibri" w:hAnsi="Calibri"/>
                <w:sz w:val="20"/>
              </w:rPr>
              <w:t xml:space="preserve">NSDUH</w:t>
            </w:r>
            <w:r>
              <w:rPr>
                <w:rFonts w:ascii="Calibri" w:hAnsi="Calibri"/>
                <w:sz w:val="20"/>
              </w:rPr>
              <w:t xml:space="preserve">: National Survey on Drug Use and Health; </w:t>
            </w:r>
            <w:r>
              <w:rPr>
                <w:b w:val="true"/>
                <w:rFonts w:ascii="Calibri" w:hAnsi="Calibri"/>
                <w:sz w:val="20"/>
              </w:rPr>
              <w:t xml:space="preserve">CI</w:t>
            </w:r>
            <w:r>
              <w:rPr>
                <w:rFonts w:ascii="Calibri" w:hAnsi="Calibri"/>
                <w:sz w:val="20"/>
              </w:rPr>
              <w:t xml:space="preserve">: Confidence Interval; </w:t>
            </w:r>
            <w:r>
              <w:rPr>
                <w:b w:val="true"/>
                <w:rFonts w:ascii="Calibri" w:hAnsi="Calibri"/>
                <w:sz w:val="20"/>
              </w:rPr>
              <w:t xml:space="preserve">SUD</w:t>
            </w:r>
            <w:r>
              <w:rPr>
                <w:rFonts w:ascii="Calibri" w:hAnsi="Calibri"/>
                <w:sz w:val="20"/>
              </w:rPr>
              <w:t xml:space="preserve">: Substance Use Disorder; </w:t>
            </w:r>
            <w:r>
              <w:rPr>
                <w:b w:val="true"/>
                <w:rFonts w:ascii="Calibri" w:hAnsi="Calibri"/>
                <w:sz w:val="20"/>
              </w:rPr>
              <w:t xml:space="preserve">MDE</w:t>
            </w:r>
            <w:r>
              <w:rPr>
                <w:rFonts w:ascii="Calibri" w:hAnsi="Calibri"/>
                <w:sz w:val="20"/>
              </w:rPr>
              <w:t xml:space="preserve">: Major Depressive Episode; </w:t>
            </w:r>
            <w:r>
              <w:rPr>
                <w:b w:val="true"/>
                <w:rFonts w:ascii="Calibri" w:hAnsi="Calibri"/>
                <w:sz w:val="20"/>
              </w:rPr>
              <w:t xml:space="preserve">AIAN</w:t>
            </w:r>
            <w:r>
              <w:rPr>
                <w:rFonts w:ascii="Calibri" w:hAnsi="Calibri"/>
                <w:sz w:val="20"/>
              </w:rPr>
              <w:t xml:space="preserve">: American Indian or Alaska Native; </w:t>
            </w:r>
            <w:r>
              <w:rPr>
                <w:b w:val="true"/>
                <w:rFonts w:ascii="Calibri" w:hAnsi="Calibri"/>
                <w:sz w:val="20"/>
              </w:rPr>
              <w:t xml:space="preserve">NHPI</w:t>
            </w:r>
            <w:r>
              <w:rPr>
                <w:rFonts w:ascii="Calibri" w:hAnsi="Calibri"/>
                <w:sz w:val="20"/>
              </w:rPr>
              <w:t xml:space="preserve">: Native Hawaiian or Other Pacific Islander; </w:t>
            </w:r>
            <w:r>
              <w:rPr>
                <w:b w:val="true"/>
                <w:rFonts w:ascii="Calibri" w:hAnsi="Calibri"/>
                <w:sz w:val="20"/>
              </w:rPr>
              <w:t xml:space="preserve">CBSA</w:t>
            </w:r>
            <w:r>
              <w:rPr>
                <w:rFonts w:ascii="Calibri" w:hAnsi="Calibri"/>
                <w:sz w:val="20"/>
              </w:rPr>
              <w:t xml:space="preserve">: Core Based Statistical Area; </w:t>
            </w:r>
            <w:r>
              <w:rPr>
                <w:b w:val="true"/>
                <w:rFonts w:ascii="Calibri" w:hAnsi="Calibri"/>
                <w:sz w:val="20"/>
              </w:rPr>
              <w:t xml:space="preserve">1M</w:t>
            </w:r>
            <w:r>
              <w:rPr>
                <w:rFonts w:ascii="Calibri" w:hAnsi="Calibri"/>
                <w:sz w:val="20"/>
              </w:rPr>
              <w:t xml:space="preserve">: 1 Million.</w:t>
            </w:r>
          </w:p>
          <w:p>
            <w:pPr>
              <w:pStyle w:val="Macro Text"/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  **Note:** Estimates are weighted to represent the U.S. adolescent population living in households. Numbers may not sum to total due to rounding.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2026-01-24T22:02:28Z</dcterms:created>
  <dcterms:modified xsi:type="dcterms:W3CDTF">2026-01-24T22:02:28Z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