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Association between sociodemographic characteristics and current cannabis use among U.S. youth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0"/>
          <w:color w:val="333333"/>
        </w:rPr>
        <w:t xml:space="default">NSDUH 2021–2024, adjusted odds ratios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Category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AOR (95% CI)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p-value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3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14–15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4.52 (3.82–5.35)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16–17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10.70 (9.22–12.42)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3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Gender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1.30 (1.19–1.42)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3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Race/Ethnicity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 (0.83–1.21)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1.89 (1.22–2.93)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NHPI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2.09 (0.89–4.87)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0.086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0.36 (0.24–0.53)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Multiracial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1.31 (1.08–1.59)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Hispanic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0.85 (0.72–0.99)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0.038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3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Family Income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&lt;$20k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1.13 (0.94–1.35)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0.178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$20–39k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1.08 (0.91–1.28)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0.385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$40–49k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1.37 (1.13–1.67)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$50–74k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1.23 (1.09–1.38)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0.001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3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County Type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Small metro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1.12 (1.01–1.24)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Nonmetro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0.83 (0.72–0.96)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0.011</w:t>
            </w:r>
          </w:p>
        </w:tc>
      </w:tr>
      <w:tr>
        <w:trPr>
          <w:cantSplit/>
        </w:trPr>
        <w:tc>
          <w:tcPr>
            <w:gridSpan w:val="3"/>
          </w:tcPr>
          <w:p>
            <w:pPr>
              <w:spacing w:before="0" w:after="60"/>
              <w:keepNext/>
            </w:pPr>
            <w:r>
              <w:rPr>
                <w:b w:val="true"/>
                <w:rFonts w:ascii="Calibri" w:hAnsi="Calibri"/>
                <w:sz w:val="20"/>
              </w:rPr>
              <w:t xml:space="preserve">Abbreviations: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b w:val="true"/>
                <w:rFonts w:ascii="Calibri" w:hAnsi="Calibri"/>
                <w:sz w:val="20"/>
              </w:rPr>
              <w:t xml:space="preserve">NSDUH</w:t>
            </w:r>
            <w:r>
              <w:rPr>
                <w:rFonts w:ascii="Calibri" w:hAnsi="Calibri"/>
                <w:sz w:val="20"/>
              </w:rPr>
              <w:t xml:space="preserve">: National Survey on Drug Use and Health; </w:t>
            </w:r>
            <w:r>
              <w:rPr>
                <w:b w:val="true"/>
                <w:rFonts w:ascii="Calibri" w:hAnsi="Calibri"/>
                <w:sz w:val="20"/>
              </w:rPr>
              <w:t xml:space="preserve">AOR</w:t>
            </w:r>
            <w:r>
              <w:rPr>
                <w:rFonts w:ascii="Calibri" w:hAnsi="Calibri"/>
                <w:sz w:val="20"/>
              </w:rPr>
              <w:t xml:space="preserve">: Adjusted Odds Ratio; </w:t>
            </w:r>
            <w:r>
              <w:rPr>
                <w:b w:val="true"/>
                <w:rFonts w:ascii="Calibri" w:hAnsi="Calibri"/>
                <w:sz w:val="20"/>
              </w:rPr>
              <w:t xml:space="preserve">CI</w:t>
            </w:r>
            <w:r>
              <w:rPr>
                <w:rFonts w:ascii="Calibri" w:hAnsi="Calibri"/>
                <w:sz w:val="20"/>
              </w:rPr>
              <w:t xml:space="preserve">: Confidence Interval; </w:t>
            </w:r>
            <w:r>
              <w:rPr>
                <w:b w:val="true"/>
                <w:rFonts w:ascii="Calibri" w:hAnsi="Calibri"/>
                <w:sz w:val="20"/>
              </w:rPr>
              <w:t xml:space="preserve">AIAN</w:t>
            </w:r>
            <w:r>
              <w:rPr>
                <w:rFonts w:ascii="Calibri" w:hAnsi="Calibri"/>
                <w:sz w:val="20"/>
              </w:rPr>
              <w:t xml:space="preserve">: American Indian or Alaska Native; </w:t>
            </w:r>
            <w:r>
              <w:rPr>
                <w:b w:val="true"/>
                <w:rFonts w:ascii="Calibri" w:hAnsi="Calibri"/>
                <w:sz w:val="20"/>
              </w:rPr>
              <w:t xml:space="preserve">NHPI</w:t>
            </w:r>
            <w:r>
              <w:rPr>
                <w:rFonts w:ascii="Calibri" w:hAnsi="Calibri"/>
                <w:sz w:val="20"/>
              </w:rPr>
              <w:t xml:space="preserve">: Native Hawaiian or Other Pacific Islander.</w:t>
            </w:r>
          </w:p>
          <w:p>
            <w:pPr>
              <w:pStyle w:val="Macro Text"/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  **Note:** Model adjusted for age, sex, race/ethnicity, income, and county type.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2026-01-24T22:19:05Z</dcterms:created>
  <dcterms:modified xsi:type="dcterms:W3CDTF">2026-01-24T22:19:05Z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