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C5EDA" w14:textId="77777777" w:rsidR="00875DD9" w:rsidRDefault="00875DD9" w:rsidP="00875DD9">
      <w:pPr>
        <w:rPr>
          <w:rFonts w:ascii="Times New Roman" w:hAnsi="Times New Roman" w:cs="Times New Roman"/>
        </w:rPr>
      </w:pPr>
      <w:r>
        <w:rPr>
          <w:rFonts w:ascii="Times New Roman" w:hAnsi="Times New Roman" w:cs="Times New Roman"/>
        </w:rPr>
        <w:t>Protocol</w:t>
      </w:r>
    </w:p>
    <w:p w14:paraId="514F9F6B" w14:textId="77777777" w:rsidR="00875DD9" w:rsidRPr="008F585A" w:rsidRDefault="00875DD9" w:rsidP="00875DD9">
      <w:pPr>
        <w:pStyle w:val="ListParagraph"/>
        <w:numPr>
          <w:ilvl w:val="0"/>
          <w:numId w:val="1"/>
        </w:numPr>
        <w:rPr>
          <w:rFonts w:ascii="Times New Roman" w:hAnsi="Times New Roman" w:cs="Times New Roman"/>
        </w:rPr>
      </w:pPr>
      <w:r>
        <w:rPr>
          <w:rFonts w:ascii="Times New Roman" w:hAnsi="Times New Roman" w:cs="Times New Roman"/>
        </w:rPr>
        <w:t>A</w:t>
      </w:r>
      <w:r w:rsidRPr="008F585A">
        <w:rPr>
          <w:rFonts w:ascii="Times New Roman" w:hAnsi="Times New Roman" w:cs="Times New Roman"/>
        </w:rPr>
        <w:t xml:space="preserve">ll of the plots I am using are marked with a pink flag. </w:t>
      </w:r>
      <w:r>
        <w:rPr>
          <w:rFonts w:ascii="Times New Roman" w:hAnsi="Times New Roman" w:cs="Times New Roman"/>
        </w:rPr>
        <w:t>In general flag colors correspond to the treatment</w:t>
      </w:r>
    </w:p>
    <w:p w14:paraId="357850A0" w14:textId="77777777" w:rsidR="00875DD9" w:rsidRDefault="00875DD9" w:rsidP="00875DD9">
      <w:pPr>
        <w:pStyle w:val="ListParagraph"/>
        <w:numPr>
          <w:ilvl w:val="0"/>
          <w:numId w:val="1"/>
        </w:numPr>
        <w:rPr>
          <w:rFonts w:ascii="Times New Roman" w:hAnsi="Times New Roman" w:cs="Times New Roman"/>
        </w:rPr>
      </w:pPr>
      <w:r>
        <w:rPr>
          <w:rFonts w:ascii="Times New Roman" w:hAnsi="Times New Roman" w:cs="Times New Roman"/>
        </w:rPr>
        <w:t>Plots are numbered with a steel tag on the lower right rebar, when you arrive at a plot, check this number to ensure you are in the correct plot</w:t>
      </w:r>
    </w:p>
    <w:p w14:paraId="63B9CCE2" w14:textId="77777777" w:rsidR="00875DD9" w:rsidRDefault="00875DD9" w:rsidP="00875DD9">
      <w:pPr>
        <w:pStyle w:val="ListParagraph"/>
        <w:numPr>
          <w:ilvl w:val="0"/>
          <w:numId w:val="1"/>
        </w:numPr>
        <w:rPr>
          <w:rFonts w:ascii="Times New Roman" w:hAnsi="Times New Roman" w:cs="Times New Roman"/>
        </w:rPr>
      </w:pPr>
      <w:r>
        <w:rPr>
          <w:rFonts w:ascii="Times New Roman" w:hAnsi="Times New Roman" w:cs="Times New Roman"/>
        </w:rPr>
        <w:t>Upon arriving at a plot and after checking the plot number</w:t>
      </w:r>
    </w:p>
    <w:p w14:paraId="69F5F43C" w14:textId="3ADE634D" w:rsidR="00875DD9" w:rsidRDefault="00875DD9" w:rsidP="00875DD9">
      <w:pPr>
        <w:pStyle w:val="ListParagraph"/>
        <w:numPr>
          <w:ilvl w:val="1"/>
          <w:numId w:val="1"/>
        </w:numPr>
        <w:rPr>
          <w:rFonts w:ascii="Times New Roman" w:hAnsi="Times New Roman" w:cs="Times New Roman"/>
        </w:rPr>
      </w:pPr>
      <w:r>
        <w:rPr>
          <w:rFonts w:ascii="Times New Roman" w:hAnsi="Times New Roman" w:cs="Times New Roman"/>
        </w:rPr>
        <w:t xml:space="preserve">Remove grasses from </w:t>
      </w:r>
      <w:r w:rsidR="00F13F5C">
        <w:rPr>
          <w:rFonts w:ascii="Times New Roman" w:hAnsi="Times New Roman" w:cs="Times New Roman"/>
        </w:rPr>
        <w:t>southern subplot</w:t>
      </w:r>
    </w:p>
    <w:p w14:paraId="1BA77E7C" w14:textId="77777777" w:rsidR="00875DD9" w:rsidRDefault="00875DD9" w:rsidP="00875DD9">
      <w:pPr>
        <w:pStyle w:val="ListParagraph"/>
        <w:numPr>
          <w:ilvl w:val="1"/>
          <w:numId w:val="1"/>
        </w:numPr>
        <w:rPr>
          <w:rFonts w:ascii="Times New Roman" w:hAnsi="Times New Roman" w:cs="Times New Roman"/>
        </w:rPr>
      </w:pPr>
      <w:r>
        <w:rPr>
          <w:rFonts w:ascii="Times New Roman" w:hAnsi="Times New Roman" w:cs="Times New Roman"/>
        </w:rPr>
        <w:t>Remove background species (anything growing that is not one of the focal species) from BOTH plots</w:t>
      </w:r>
    </w:p>
    <w:p w14:paraId="03AC28FA" w14:textId="77777777" w:rsidR="00875DD9" w:rsidRDefault="00875DD9" w:rsidP="00875DD9">
      <w:pPr>
        <w:pStyle w:val="ListParagraph"/>
        <w:numPr>
          <w:ilvl w:val="1"/>
          <w:numId w:val="1"/>
        </w:numPr>
        <w:rPr>
          <w:rFonts w:ascii="Times New Roman" w:hAnsi="Times New Roman" w:cs="Times New Roman"/>
        </w:rPr>
      </w:pPr>
      <w:r>
        <w:rPr>
          <w:rFonts w:ascii="Times New Roman" w:hAnsi="Times New Roman" w:cs="Times New Roman"/>
        </w:rPr>
        <w:t>For each species</w:t>
      </w:r>
    </w:p>
    <w:p w14:paraId="7EACAEB2" w14:textId="77777777" w:rsidR="00875DD9" w:rsidRDefault="00875DD9" w:rsidP="00875DD9">
      <w:pPr>
        <w:pStyle w:val="ListParagraph"/>
        <w:numPr>
          <w:ilvl w:val="2"/>
          <w:numId w:val="1"/>
        </w:numPr>
        <w:rPr>
          <w:rFonts w:ascii="Times New Roman" w:hAnsi="Times New Roman" w:cs="Times New Roman"/>
        </w:rPr>
      </w:pPr>
      <w:r>
        <w:rPr>
          <w:rFonts w:ascii="Times New Roman" w:hAnsi="Times New Roman" w:cs="Times New Roman"/>
        </w:rPr>
        <w:t>Check for mortality by counting off toothpicks and seeing if there is a living individual of that species near the toothpick; if there isn’t, remove the toothpick and record total number that died under “</w:t>
      </w:r>
      <w:proofErr w:type="spellStart"/>
      <w:r>
        <w:rPr>
          <w:rFonts w:ascii="Times New Roman" w:hAnsi="Times New Roman" w:cs="Times New Roman"/>
        </w:rPr>
        <w:t>n.died</w:t>
      </w:r>
      <w:proofErr w:type="spellEnd"/>
      <w:r>
        <w:rPr>
          <w:rFonts w:ascii="Times New Roman" w:hAnsi="Times New Roman" w:cs="Times New Roman"/>
        </w:rPr>
        <w:t>”</w:t>
      </w:r>
    </w:p>
    <w:p w14:paraId="41B6E57D" w14:textId="77777777" w:rsidR="00875DD9" w:rsidRDefault="00875DD9" w:rsidP="00875DD9">
      <w:pPr>
        <w:pStyle w:val="ListParagraph"/>
        <w:numPr>
          <w:ilvl w:val="2"/>
          <w:numId w:val="1"/>
        </w:numPr>
        <w:rPr>
          <w:rFonts w:ascii="Times New Roman" w:hAnsi="Times New Roman" w:cs="Times New Roman"/>
        </w:rPr>
      </w:pPr>
      <w:r>
        <w:rPr>
          <w:rFonts w:ascii="Times New Roman" w:hAnsi="Times New Roman" w:cs="Times New Roman"/>
        </w:rPr>
        <w:t>Record flowering</w:t>
      </w:r>
    </w:p>
    <w:p w14:paraId="208ECBF2" w14:textId="77777777" w:rsidR="00875DD9" w:rsidRDefault="00875DD9" w:rsidP="00875DD9">
      <w:pPr>
        <w:pStyle w:val="ListParagraph"/>
        <w:numPr>
          <w:ilvl w:val="3"/>
          <w:numId w:val="1"/>
        </w:numPr>
        <w:rPr>
          <w:rFonts w:ascii="Times New Roman" w:hAnsi="Times New Roman" w:cs="Times New Roman"/>
        </w:rPr>
      </w:pPr>
      <w:proofErr w:type="spellStart"/>
      <w:r>
        <w:rPr>
          <w:rFonts w:ascii="Times New Roman" w:hAnsi="Times New Roman" w:cs="Times New Roman"/>
        </w:rPr>
        <w:t>Flo.A</w:t>
      </w:r>
      <w:proofErr w:type="spellEnd"/>
      <w:r>
        <w:rPr>
          <w:rFonts w:ascii="Times New Roman" w:hAnsi="Times New Roman" w:cs="Times New Roman"/>
        </w:rPr>
        <w:t xml:space="preserve"> – number of individuals with buds</w:t>
      </w:r>
    </w:p>
    <w:p w14:paraId="2132CD18" w14:textId="77777777" w:rsidR="00875DD9" w:rsidRDefault="00875DD9" w:rsidP="00875DD9">
      <w:pPr>
        <w:pStyle w:val="ListParagraph"/>
        <w:numPr>
          <w:ilvl w:val="3"/>
          <w:numId w:val="1"/>
        </w:numPr>
        <w:rPr>
          <w:rFonts w:ascii="Times New Roman" w:hAnsi="Times New Roman" w:cs="Times New Roman"/>
        </w:rPr>
      </w:pPr>
      <w:proofErr w:type="spellStart"/>
      <w:r>
        <w:rPr>
          <w:rFonts w:ascii="Times New Roman" w:hAnsi="Times New Roman" w:cs="Times New Roman"/>
        </w:rPr>
        <w:t>Flo.B</w:t>
      </w:r>
      <w:proofErr w:type="spellEnd"/>
      <w:r>
        <w:rPr>
          <w:rFonts w:ascii="Times New Roman" w:hAnsi="Times New Roman" w:cs="Times New Roman"/>
        </w:rPr>
        <w:t xml:space="preserve"> – number of individuals with open flowers</w:t>
      </w:r>
    </w:p>
    <w:p w14:paraId="34F2E4D1" w14:textId="77777777" w:rsidR="00875DD9" w:rsidRDefault="00875DD9" w:rsidP="00875DD9">
      <w:pPr>
        <w:pStyle w:val="ListParagraph"/>
        <w:numPr>
          <w:ilvl w:val="3"/>
          <w:numId w:val="1"/>
        </w:numPr>
        <w:rPr>
          <w:rFonts w:ascii="Times New Roman" w:hAnsi="Times New Roman" w:cs="Times New Roman"/>
        </w:rPr>
      </w:pPr>
      <w:proofErr w:type="spellStart"/>
      <w:r>
        <w:rPr>
          <w:rFonts w:ascii="Times New Roman" w:hAnsi="Times New Roman" w:cs="Times New Roman"/>
        </w:rPr>
        <w:t>Flo.C</w:t>
      </w:r>
      <w:proofErr w:type="spellEnd"/>
      <w:r>
        <w:rPr>
          <w:rFonts w:ascii="Times New Roman" w:hAnsi="Times New Roman" w:cs="Times New Roman"/>
        </w:rPr>
        <w:t xml:space="preserve"> – number of individuals setting seed </w:t>
      </w:r>
    </w:p>
    <w:p w14:paraId="6540EA42" w14:textId="77777777" w:rsidR="00875DD9" w:rsidRDefault="003D56F3" w:rsidP="00875DD9">
      <w:pPr>
        <w:pStyle w:val="ListParagraph"/>
        <w:numPr>
          <w:ilvl w:val="2"/>
          <w:numId w:val="1"/>
        </w:numPr>
        <w:rPr>
          <w:rFonts w:ascii="Times New Roman" w:hAnsi="Times New Roman" w:cs="Times New Roman"/>
        </w:rPr>
      </w:pPr>
      <w:r>
        <w:rPr>
          <w:rFonts w:ascii="Times New Roman" w:hAnsi="Times New Roman" w:cs="Times New Roman"/>
        </w:rPr>
        <w:t>Record flower number (flo.1-flo.5</w:t>
      </w:r>
      <w:r w:rsidR="00875DD9">
        <w:rPr>
          <w:rFonts w:ascii="Times New Roman" w:hAnsi="Times New Roman" w:cs="Times New Roman"/>
        </w:rPr>
        <w:t>)</w:t>
      </w:r>
    </w:p>
    <w:p w14:paraId="0667D8FF" w14:textId="77777777" w:rsidR="00875DD9" w:rsidRDefault="00875DD9" w:rsidP="00875DD9">
      <w:pPr>
        <w:pStyle w:val="ListParagraph"/>
        <w:numPr>
          <w:ilvl w:val="3"/>
          <w:numId w:val="1"/>
        </w:numPr>
        <w:rPr>
          <w:rFonts w:ascii="Times New Roman" w:hAnsi="Times New Roman" w:cs="Times New Roman"/>
        </w:rPr>
      </w:pPr>
      <w:r>
        <w:rPr>
          <w:rFonts w:ascii="Times New Roman" w:hAnsi="Times New Roman" w:cs="Times New Roman"/>
        </w:rPr>
        <w:t>For 5 random individuals, record the number of flowers per individual</w:t>
      </w:r>
    </w:p>
    <w:p w14:paraId="58FC5B25" w14:textId="77777777" w:rsidR="00875DD9" w:rsidRDefault="00875DD9" w:rsidP="00875DD9">
      <w:pPr>
        <w:pStyle w:val="ListParagraph"/>
        <w:numPr>
          <w:ilvl w:val="0"/>
          <w:numId w:val="1"/>
        </w:numPr>
        <w:rPr>
          <w:rFonts w:ascii="Times New Roman" w:hAnsi="Times New Roman" w:cs="Times New Roman"/>
        </w:rPr>
      </w:pPr>
      <w:r>
        <w:rPr>
          <w:rFonts w:ascii="Times New Roman" w:hAnsi="Times New Roman" w:cs="Times New Roman"/>
        </w:rPr>
        <w:t xml:space="preserve">Most toothpicks are plastic and are easily discoverable however I ran out and had to use hand dyed toothpicks for some (CLGR, PLER, and HECO). Their color should still be distinguishable however be careful. If they look different, deduce what color they should be based on the individual they are near and place a new toothpick next to the individual if necessary. </w:t>
      </w:r>
    </w:p>
    <w:p w14:paraId="6441703B" w14:textId="77777777" w:rsidR="00875DD9" w:rsidRPr="003D56F3" w:rsidRDefault="00875DD9" w:rsidP="003D56F3">
      <w:pPr>
        <w:rPr>
          <w:rFonts w:ascii="Times New Roman" w:hAnsi="Times New Roman" w:cs="Times New Roman"/>
        </w:rPr>
      </w:pPr>
    </w:p>
    <w:p w14:paraId="3D7B86D0" w14:textId="77777777" w:rsidR="00875DD9" w:rsidRDefault="00875DD9" w:rsidP="00875DD9">
      <w:pPr>
        <w:pStyle w:val="ListParagraph"/>
        <w:rPr>
          <w:rFonts w:ascii="Times New Roman" w:hAnsi="Times New Roman" w:cs="Times New Roman"/>
        </w:rPr>
      </w:pPr>
    </w:p>
    <w:p w14:paraId="46EFAB4F" w14:textId="77777777" w:rsidR="00875DD9" w:rsidRDefault="00875DD9" w:rsidP="00875DD9">
      <w:pPr>
        <w:pStyle w:val="ListParagraph"/>
        <w:rPr>
          <w:rFonts w:ascii="Times New Roman" w:hAnsi="Times New Roman" w:cs="Times New Roman"/>
        </w:rPr>
      </w:pPr>
    </w:p>
    <w:p w14:paraId="738BD60E" w14:textId="77777777" w:rsidR="00875DD9" w:rsidRPr="008F585A" w:rsidRDefault="00875DD9" w:rsidP="00875DD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3618"/>
        <w:gridCol w:w="2286"/>
        <w:gridCol w:w="2286"/>
      </w:tblGrid>
      <w:tr w:rsidR="003D56F3" w14:paraId="0B28DF5C" w14:textId="77777777" w:rsidTr="00F851C0">
        <w:tc>
          <w:tcPr>
            <w:tcW w:w="3618" w:type="dxa"/>
          </w:tcPr>
          <w:p w14:paraId="569FC78D" w14:textId="77777777" w:rsidR="003D56F3" w:rsidRPr="00722AEE" w:rsidRDefault="003D56F3" w:rsidP="00B74F7E">
            <w:pPr>
              <w:jc w:val="center"/>
              <w:rPr>
                <w:rFonts w:ascii="Times New Roman" w:hAnsi="Times New Roman" w:cs="Times New Roman"/>
                <w:b/>
              </w:rPr>
            </w:pPr>
            <w:r w:rsidRPr="00722AEE">
              <w:rPr>
                <w:rFonts w:ascii="Times New Roman" w:hAnsi="Times New Roman" w:cs="Times New Roman"/>
                <w:b/>
              </w:rPr>
              <w:t>Species</w:t>
            </w:r>
          </w:p>
        </w:tc>
        <w:tc>
          <w:tcPr>
            <w:tcW w:w="2286" w:type="dxa"/>
          </w:tcPr>
          <w:p w14:paraId="4AB75ECA" w14:textId="77777777" w:rsidR="003D56F3" w:rsidRPr="00722AEE" w:rsidRDefault="003D56F3" w:rsidP="001527E8">
            <w:pPr>
              <w:jc w:val="center"/>
              <w:rPr>
                <w:rFonts w:ascii="Times New Roman" w:hAnsi="Times New Roman" w:cs="Times New Roman"/>
                <w:b/>
              </w:rPr>
            </w:pPr>
            <w:r w:rsidRPr="00722AEE">
              <w:rPr>
                <w:rFonts w:ascii="Times New Roman" w:hAnsi="Times New Roman" w:cs="Times New Roman"/>
                <w:b/>
              </w:rPr>
              <w:t>Toothpick color</w:t>
            </w:r>
          </w:p>
        </w:tc>
        <w:tc>
          <w:tcPr>
            <w:tcW w:w="2286" w:type="dxa"/>
          </w:tcPr>
          <w:p w14:paraId="77BC3ACE" w14:textId="77777777" w:rsidR="003D56F3" w:rsidRPr="00722AEE" w:rsidRDefault="003D56F3" w:rsidP="00B74F7E">
            <w:pPr>
              <w:jc w:val="center"/>
              <w:rPr>
                <w:rFonts w:ascii="Times New Roman" w:hAnsi="Times New Roman" w:cs="Times New Roman"/>
                <w:b/>
              </w:rPr>
            </w:pPr>
            <w:r>
              <w:rPr>
                <w:rFonts w:ascii="Times New Roman" w:hAnsi="Times New Roman" w:cs="Times New Roman"/>
                <w:b/>
              </w:rPr>
              <w:t>Flowering?</w:t>
            </w:r>
          </w:p>
        </w:tc>
      </w:tr>
      <w:tr w:rsidR="003D56F3" w14:paraId="3301E2FC" w14:textId="77777777" w:rsidTr="00F851C0">
        <w:tc>
          <w:tcPr>
            <w:tcW w:w="3618" w:type="dxa"/>
          </w:tcPr>
          <w:p w14:paraId="3A0D7CE7" w14:textId="77777777" w:rsidR="003D56F3" w:rsidRDefault="003D56F3" w:rsidP="00B74F7E">
            <w:pPr>
              <w:rPr>
                <w:rFonts w:ascii="Times New Roman" w:hAnsi="Times New Roman" w:cs="Times New Roman"/>
              </w:rPr>
            </w:pPr>
            <w:proofErr w:type="spellStart"/>
            <w:r>
              <w:rPr>
                <w:rFonts w:ascii="Times New Roman" w:hAnsi="Times New Roman" w:cs="Times New Roman"/>
              </w:rPr>
              <w:t>Agoseris</w:t>
            </w:r>
            <w:proofErr w:type="spellEnd"/>
            <w:r>
              <w:rPr>
                <w:rFonts w:ascii="Times New Roman" w:hAnsi="Times New Roman" w:cs="Times New Roman"/>
              </w:rPr>
              <w:t xml:space="preserve"> </w:t>
            </w:r>
            <w:proofErr w:type="spellStart"/>
            <w:r>
              <w:rPr>
                <w:rFonts w:ascii="Times New Roman" w:hAnsi="Times New Roman" w:cs="Times New Roman"/>
              </w:rPr>
              <w:t>heterophylla</w:t>
            </w:r>
            <w:proofErr w:type="spellEnd"/>
            <w:r>
              <w:rPr>
                <w:rFonts w:ascii="Times New Roman" w:hAnsi="Times New Roman" w:cs="Times New Roman"/>
              </w:rPr>
              <w:t xml:space="preserve"> (AGHE)</w:t>
            </w:r>
          </w:p>
        </w:tc>
        <w:tc>
          <w:tcPr>
            <w:tcW w:w="2286" w:type="dxa"/>
          </w:tcPr>
          <w:p w14:paraId="327D7167" w14:textId="77777777" w:rsidR="003D56F3" w:rsidRDefault="003D56F3" w:rsidP="001527E8">
            <w:pPr>
              <w:rPr>
                <w:rFonts w:ascii="Times New Roman" w:hAnsi="Times New Roman" w:cs="Times New Roman"/>
              </w:rPr>
            </w:pPr>
            <w:r>
              <w:rPr>
                <w:rFonts w:ascii="Times New Roman" w:hAnsi="Times New Roman" w:cs="Times New Roman"/>
              </w:rPr>
              <w:t>White</w:t>
            </w:r>
          </w:p>
        </w:tc>
        <w:tc>
          <w:tcPr>
            <w:tcW w:w="2286" w:type="dxa"/>
          </w:tcPr>
          <w:p w14:paraId="11743AD6" w14:textId="77777777" w:rsidR="003D56F3" w:rsidRDefault="003D56F3" w:rsidP="00B74F7E">
            <w:pPr>
              <w:rPr>
                <w:rFonts w:ascii="Times New Roman" w:hAnsi="Times New Roman" w:cs="Times New Roman"/>
              </w:rPr>
            </w:pPr>
            <w:r>
              <w:rPr>
                <w:rFonts w:ascii="Times New Roman" w:hAnsi="Times New Roman" w:cs="Times New Roman"/>
              </w:rPr>
              <w:t>Yes</w:t>
            </w:r>
          </w:p>
        </w:tc>
      </w:tr>
      <w:tr w:rsidR="003D56F3" w14:paraId="5610A059" w14:textId="77777777" w:rsidTr="00F851C0">
        <w:tc>
          <w:tcPr>
            <w:tcW w:w="3618" w:type="dxa"/>
          </w:tcPr>
          <w:p w14:paraId="6A6D9CB6" w14:textId="77777777" w:rsidR="003D56F3" w:rsidRDefault="003D56F3" w:rsidP="00B74F7E">
            <w:pPr>
              <w:rPr>
                <w:rFonts w:ascii="Times New Roman" w:hAnsi="Times New Roman" w:cs="Times New Roman"/>
              </w:rPr>
            </w:pPr>
            <w:r>
              <w:rPr>
                <w:rFonts w:ascii="Times New Roman" w:hAnsi="Times New Roman" w:cs="Times New Roman"/>
              </w:rPr>
              <w:t xml:space="preserve">Clarkia </w:t>
            </w:r>
            <w:proofErr w:type="spellStart"/>
            <w:r>
              <w:rPr>
                <w:rFonts w:ascii="Times New Roman" w:hAnsi="Times New Roman" w:cs="Times New Roman"/>
              </w:rPr>
              <w:t>gracilis</w:t>
            </w:r>
            <w:proofErr w:type="spellEnd"/>
            <w:r>
              <w:rPr>
                <w:rFonts w:ascii="Times New Roman" w:hAnsi="Times New Roman" w:cs="Times New Roman"/>
              </w:rPr>
              <w:t xml:space="preserve"> (CLGR)</w:t>
            </w:r>
          </w:p>
        </w:tc>
        <w:tc>
          <w:tcPr>
            <w:tcW w:w="2286" w:type="dxa"/>
          </w:tcPr>
          <w:p w14:paraId="0A21D0AE" w14:textId="77777777" w:rsidR="003D56F3" w:rsidRDefault="003D56F3" w:rsidP="001527E8">
            <w:pPr>
              <w:rPr>
                <w:rFonts w:ascii="Times New Roman" w:hAnsi="Times New Roman" w:cs="Times New Roman"/>
              </w:rPr>
            </w:pPr>
            <w:r>
              <w:rPr>
                <w:rFonts w:ascii="Times New Roman" w:hAnsi="Times New Roman" w:cs="Times New Roman"/>
              </w:rPr>
              <w:t>Pink/red</w:t>
            </w:r>
          </w:p>
        </w:tc>
        <w:tc>
          <w:tcPr>
            <w:tcW w:w="2286" w:type="dxa"/>
          </w:tcPr>
          <w:p w14:paraId="4E4F5F87" w14:textId="57302670" w:rsidR="003D56F3" w:rsidRDefault="00F13F5C" w:rsidP="00B74F7E">
            <w:pPr>
              <w:rPr>
                <w:rFonts w:ascii="Times New Roman" w:hAnsi="Times New Roman" w:cs="Times New Roman"/>
              </w:rPr>
            </w:pPr>
            <w:r>
              <w:rPr>
                <w:rFonts w:ascii="Times New Roman" w:hAnsi="Times New Roman" w:cs="Times New Roman"/>
              </w:rPr>
              <w:t>No</w:t>
            </w:r>
          </w:p>
        </w:tc>
      </w:tr>
      <w:tr w:rsidR="003D56F3" w14:paraId="1B3B4CE8" w14:textId="77777777" w:rsidTr="00F851C0">
        <w:tc>
          <w:tcPr>
            <w:tcW w:w="3618" w:type="dxa"/>
          </w:tcPr>
          <w:p w14:paraId="56E45C29" w14:textId="77777777" w:rsidR="003D56F3" w:rsidRDefault="003D56F3" w:rsidP="00B74F7E">
            <w:pPr>
              <w:rPr>
                <w:rFonts w:ascii="Times New Roman" w:hAnsi="Times New Roman" w:cs="Times New Roman"/>
              </w:rPr>
            </w:pPr>
            <w:proofErr w:type="spellStart"/>
            <w:r>
              <w:rPr>
                <w:rFonts w:ascii="Times New Roman" w:hAnsi="Times New Roman" w:cs="Times New Roman"/>
              </w:rPr>
              <w:t>Hemizonia</w:t>
            </w:r>
            <w:proofErr w:type="spellEnd"/>
            <w:r>
              <w:rPr>
                <w:rFonts w:ascii="Times New Roman" w:hAnsi="Times New Roman" w:cs="Times New Roman"/>
              </w:rPr>
              <w:t xml:space="preserve"> </w:t>
            </w:r>
            <w:proofErr w:type="spellStart"/>
            <w:r>
              <w:rPr>
                <w:rFonts w:ascii="Times New Roman" w:hAnsi="Times New Roman" w:cs="Times New Roman"/>
              </w:rPr>
              <w:t>congesta</w:t>
            </w:r>
            <w:proofErr w:type="spellEnd"/>
            <w:r>
              <w:rPr>
                <w:rFonts w:ascii="Times New Roman" w:hAnsi="Times New Roman" w:cs="Times New Roman"/>
              </w:rPr>
              <w:t xml:space="preserve"> (HECO)</w:t>
            </w:r>
          </w:p>
        </w:tc>
        <w:tc>
          <w:tcPr>
            <w:tcW w:w="2286" w:type="dxa"/>
          </w:tcPr>
          <w:p w14:paraId="11B064F8" w14:textId="77777777" w:rsidR="003D56F3" w:rsidRDefault="003D56F3" w:rsidP="001527E8">
            <w:pPr>
              <w:rPr>
                <w:rFonts w:ascii="Times New Roman" w:hAnsi="Times New Roman" w:cs="Times New Roman"/>
              </w:rPr>
            </w:pPr>
            <w:r>
              <w:rPr>
                <w:rFonts w:ascii="Times New Roman" w:hAnsi="Times New Roman" w:cs="Times New Roman"/>
              </w:rPr>
              <w:t>Orange</w:t>
            </w:r>
          </w:p>
        </w:tc>
        <w:tc>
          <w:tcPr>
            <w:tcW w:w="2286" w:type="dxa"/>
          </w:tcPr>
          <w:p w14:paraId="371E29ED" w14:textId="77777777" w:rsidR="003D56F3" w:rsidRDefault="003D56F3" w:rsidP="00B74F7E">
            <w:pPr>
              <w:rPr>
                <w:rFonts w:ascii="Times New Roman" w:hAnsi="Times New Roman" w:cs="Times New Roman"/>
              </w:rPr>
            </w:pPr>
            <w:r>
              <w:rPr>
                <w:rFonts w:ascii="Times New Roman" w:hAnsi="Times New Roman" w:cs="Times New Roman"/>
              </w:rPr>
              <w:t>No</w:t>
            </w:r>
          </w:p>
        </w:tc>
      </w:tr>
      <w:tr w:rsidR="003D56F3" w14:paraId="7B3468B5" w14:textId="77777777" w:rsidTr="00F851C0">
        <w:tc>
          <w:tcPr>
            <w:tcW w:w="3618" w:type="dxa"/>
          </w:tcPr>
          <w:p w14:paraId="4D0211A9" w14:textId="77777777" w:rsidR="003D56F3" w:rsidRDefault="003D56F3" w:rsidP="00B74F7E">
            <w:pPr>
              <w:rPr>
                <w:rFonts w:ascii="Times New Roman" w:hAnsi="Times New Roman" w:cs="Times New Roman"/>
              </w:rPr>
            </w:pPr>
            <w:proofErr w:type="spellStart"/>
            <w:r>
              <w:rPr>
                <w:rFonts w:ascii="Times New Roman" w:hAnsi="Times New Roman" w:cs="Times New Roman"/>
              </w:rPr>
              <w:t>Lasthenia</w:t>
            </w:r>
            <w:proofErr w:type="spellEnd"/>
            <w:r>
              <w:rPr>
                <w:rFonts w:ascii="Times New Roman" w:hAnsi="Times New Roman" w:cs="Times New Roman"/>
              </w:rPr>
              <w:t xml:space="preserve"> </w:t>
            </w:r>
            <w:proofErr w:type="spellStart"/>
            <w:r>
              <w:rPr>
                <w:rFonts w:ascii="Times New Roman" w:hAnsi="Times New Roman" w:cs="Times New Roman"/>
              </w:rPr>
              <w:t>californica</w:t>
            </w:r>
            <w:proofErr w:type="spellEnd"/>
            <w:r>
              <w:rPr>
                <w:rFonts w:ascii="Times New Roman" w:hAnsi="Times New Roman" w:cs="Times New Roman"/>
              </w:rPr>
              <w:t xml:space="preserve"> (LACA)</w:t>
            </w:r>
          </w:p>
        </w:tc>
        <w:tc>
          <w:tcPr>
            <w:tcW w:w="2286" w:type="dxa"/>
          </w:tcPr>
          <w:p w14:paraId="636C4EC5" w14:textId="77777777" w:rsidR="003D56F3" w:rsidRDefault="003D56F3" w:rsidP="001527E8">
            <w:pPr>
              <w:rPr>
                <w:rFonts w:ascii="Times New Roman" w:hAnsi="Times New Roman" w:cs="Times New Roman"/>
              </w:rPr>
            </w:pPr>
            <w:r>
              <w:rPr>
                <w:rFonts w:ascii="Times New Roman" w:hAnsi="Times New Roman" w:cs="Times New Roman"/>
              </w:rPr>
              <w:t>Green</w:t>
            </w:r>
          </w:p>
        </w:tc>
        <w:tc>
          <w:tcPr>
            <w:tcW w:w="2286" w:type="dxa"/>
          </w:tcPr>
          <w:p w14:paraId="4D16B541" w14:textId="77777777" w:rsidR="003D56F3" w:rsidRDefault="003D56F3" w:rsidP="00B74F7E">
            <w:pPr>
              <w:rPr>
                <w:rFonts w:ascii="Times New Roman" w:hAnsi="Times New Roman" w:cs="Times New Roman"/>
              </w:rPr>
            </w:pPr>
            <w:r>
              <w:rPr>
                <w:rFonts w:ascii="Times New Roman" w:hAnsi="Times New Roman" w:cs="Times New Roman"/>
              </w:rPr>
              <w:t>Yes</w:t>
            </w:r>
          </w:p>
        </w:tc>
      </w:tr>
      <w:tr w:rsidR="003D56F3" w14:paraId="7AC42A83" w14:textId="77777777" w:rsidTr="00F851C0">
        <w:tc>
          <w:tcPr>
            <w:tcW w:w="3618" w:type="dxa"/>
          </w:tcPr>
          <w:p w14:paraId="24A1EFC0" w14:textId="39BADAEA" w:rsidR="003D56F3" w:rsidRDefault="00F13F5C" w:rsidP="00B74F7E">
            <w:pPr>
              <w:rPr>
                <w:rFonts w:ascii="Times New Roman" w:hAnsi="Times New Roman" w:cs="Times New Roman"/>
              </w:rPr>
            </w:pPr>
            <w:proofErr w:type="spellStart"/>
            <w:r>
              <w:rPr>
                <w:rFonts w:ascii="Times New Roman" w:hAnsi="Times New Roman" w:cs="Times New Roman"/>
              </w:rPr>
              <w:t>Calycadenia</w:t>
            </w:r>
            <w:proofErr w:type="spellEnd"/>
            <w:r>
              <w:rPr>
                <w:rFonts w:ascii="Times New Roman" w:hAnsi="Times New Roman" w:cs="Times New Roman"/>
              </w:rPr>
              <w:t xml:space="preserve"> </w:t>
            </w:r>
            <w:proofErr w:type="spellStart"/>
            <w:r>
              <w:rPr>
                <w:rFonts w:ascii="Times New Roman" w:hAnsi="Times New Roman" w:cs="Times New Roman"/>
              </w:rPr>
              <w:t>pauciflora</w:t>
            </w:r>
            <w:bookmarkStart w:id="0" w:name="_GoBack"/>
            <w:bookmarkEnd w:id="0"/>
            <w:proofErr w:type="spellEnd"/>
          </w:p>
        </w:tc>
        <w:tc>
          <w:tcPr>
            <w:tcW w:w="2286" w:type="dxa"/>
          </w:tcPr>
          <w:p w14:paraId="7377664C" w14:textId="77777777" w:rsidR="003D56F3" w:rsidRDefault="003D56F3" w:rsidP="001527E8">
            <w:pPr>
              <w:rPr>
                <w:rFonts w:ascii="Times New Roman" w:hAnsi="Times New Roman" w:cs="Times New Roman"/>
              </w:rPr>
            </w:pPr>
            <w:r>
              <w:rPr>
                <w:rFonts w:ascii="Times New Roman" w:hAnsi="Times New Roman" w:cs="Times New Roman"/>
              </w:rPr>
              <w:t>Blue</w:t>
            </w:r>
          </w:p>
        </w:tc>
        <w:tc>
          <w:tcPr>
            <w:tcW w:w="2286" w:type="dxa"/>
          </w:tcPr>
          <w:p w14:paraId="469C71BD" w14:textId="77777777" w:rsidR="003D56F3" w:rsidRDefault="003D56F3" w:rsidP="00B74F7E">
            <w:pPr>
              <w:rPr>
                <w:rFonts w:ascii="Times New Roman" w:hAnsi="Times New Roman" w:cs="Times New Roman"/>
              </w:rPr>
            </w:pPr>
            <w:r>
              <w:rPr>
                <w:rFonts w:ascii="Times New Roman" w:hAnsi="Times New Roman" w:cs="Times New Roman"/>
              </w:rPr>
              <w:t>Yes</w:t>
            </w:r>
          </w:p>
        </w:tc>
      </w:tr>
      <w:tr w:rsidR="003D56F3" w14:paraId="6C8E522D" w14:textId="77777777" w:rsidTr="00F851C0">
        <w:tc>
          <w:tcPr>
            <w:tcW w:w="3618" w:type="dxa"/>
          </w:tcPr>
          <w:p w14:paraId="529FCF09" w14:textId="77777777" w:rsidR="003D56F3" w:rsidRDefault="003D56F3" w:rsidP="00B74F7E">
            <w:pPr>
              <w:rPr>
                <w:rFonts w:ascii="Times New Roman" w:hAnsi="Times New Roman" w:cs="Times New Roman"/>
              </w:rPr>
            </w:pPr>
            <w:proofErr w:type="spellStart"/>
            <w:r>
              <w:rPr>
                <w:rFonts w:ascii="Times New Roman" w:hAnsi="Times New Roman" w:cs="Times New Roman"/>
              </w:rPr>
              <w:t>Plantago</w:t>
            </w:r>
            <w:proofErr w:type="spellEnd"/>
            <w:r>
              <w:rPr>
                <w:rFonts w:ascii="Times New Roman" w:hAnsi="Times New Roman" w:cs="Times New Roman"/>
              </w:rPr>
              <w:t xml:space="preserve"> </w:t>
            </w:r>
            <w:proofErr w:type="spellStart"/>
            <w:r>
              <w:rPr>
                <w:rFonts w:ascii="Times New Roman" w:hAnsi="Times New Roman" w:cs="Times New Roman"/>
              </w:rPr>
              <w:t>erecta</w:t>
            </w:r>
            <w:proofErr w:type="spellEnd"/>
            <w:r>
              <w:rPr>
                <w:rFonts w:ascii="Times New Roman" w:hAnsi="Times New Roman" w:cs="Times New Roman"/>
              </w:rPr>
              <w:t xml:space="preserve"> (PLER)</w:t>
            </w:r>
          </w:p>
        </w:tc>
        <w:tc>
          <w:tcPr>
            <w:tcW w:w="2286" w:type="dxa"/>
          </w:tcPr>
          <w:p w14:paraId="57D67864" w14:textId="77777777" w:rsidR="003D56F3" w:rsidRDefault="003D56F3" w:rsidP="001527E8">
            <w:pPr>
              <w:rPr>
                <w:rFonts w:ascii="Times New Roman" w:hAnsi="Times New Roman" w:cs="Times New Roman"/>
              </w:rPr>
            </w:pPr>
            <w:r>
              <w:rPr>
                <w:rFonts w:ascii="Times New Roman" w:hAnsi="Times New Roman" w:cs="Times New Roman"/>
              </w:rPr>
              <w:t>Yellow</w:t>
            </w:r>
          </w:p>
        </w:tc>
        <w:tc>
          <w:tcPr>
            <w:tcW w:w="2286" w:type="dxa"/>
          </w:tcPr>
          <w:p w14:paraId="59D57249" w14:textId="77777777" w:rsidR="003D56F3" w:rsidRDefault="003D56F3" w:rsidP="00B74F7E">
            <w:pPr>
              <w:rPr>
                <w:rFonts w:ascii="Times New Roman" w:hAnsi="Times New Roman" w:cs="Times New Roman"/>
              </w:rPr>
            </w:pPr>
            <w:r>
              <w:rPr>
                <w:rFonts w:ascii="Times New Roman" w:hAnsi="Times New Roman" w:cs="Times New Roman"/>
              </w:rPr>
              <w:t>Yes</w:t>
            </w:r>
          </w:p>
        </w:tc>
      </w:tr>
    </w:tbl>
    <w:p w14:paraId="2AF38BA0" w14:textId="77777777" w:rsidR="00875DD9" w:rsidRDefault="00875DD9"/>
    <w:sectPr w:rsidR="00875DD9" w:rsidSect="00875D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26F54"/>
    <w:multiLevelType w:val="hybridMultilevel"/>
    <w:tmpl w:val="3594DC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D9"/>
    <w:rsid w:val="000C5A1C"/>
    <w:rsid w:val="003D56F3"/>
    <w:rsid w:val="00875DD9"/>
    <w:rsid w:val="00A246AE"/>
    <w:rsid w:val="00E03491"/>
    <w:rsid w:val="00F13F5C"/>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4D2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5D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5DD9"/>
    <w:pPr>
      <w:ind w:left="720"/>
      <w:contextualSpacing/>
    </w:pPr>
  </w:style>
  <w:style w:type="paragraph" w:styleId="BalloonText">
    <w:name w:val="Balloon Text"/>
    <w:basedOn w:val="Normal"/>
    <w:link w:val="BalloonTextChar"/>
    <w:uiPriority w:val="99"/>
    <w:semiHidden/>
    <w:unhideWhenUsed/>
    <w:rsid w:val="00875D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D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234</Words>
  <Characters>1334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Louisa LaForgia</cp:lastModifiedBy>
  <cp:revision>3</cp:revision>
  <cp:lastPrinted>2016-05-08T15:41:00Z</cp:lastPrinted>
  <dcterms:created xsi:type="dcterms:W3CDTF">2016-04-01T22:09:00Z</dcterms:created>
  <dcterms:modified xsi:type="dcterms:W3CDTF">2017-04-05T20:48:00Z</dcterms:modified>
</cp:coreProperties>
</file>