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before="240" w:after="240" w:lineRule="auto" w:line="360"/>
        <w:jc w:val="both"/>
      </w:pPr>
      <w:r>
        <w:rPr>
          <w:rFonts w:ascii="Segoe UI" w:hAnsi="Segoe UI" w:eastAsia="Segoe UI"/>
          <w:b/>
          <w:i w:val="0"/>
          <w:sz w:val="22"/>
        </w:rPr>
        <w:t>AO JUÍZO DA ___ VARA FEDERAL DOS JUIZADOS ESPECIAIS CÍVEIS – SEÇÃO JUDICIÁRIA DE PERNAMBUCO</w:t>
      </w:r>
    </w:p>
    <w:p>
      <w:pPr>
        <w:keepNext/>
        <w:spacing w:before="240" w:after="240" w:lineRule="auto" w:line="360"/>
        <w:jc w:val="both"/>
      </w:pPr>
      <w:r>
        <w:rPr>
          <w:rFonts w:ascii="Segoe UI" w:hAnsi="Segoe UI" w:eastAsia="Segoe UI"/>
          <w:b/>
          <w:i w:val="0"/>
          <w:sz w:val="22"/>
        </w:rPr>
        <w:t>AO JUÍZO DA ___ VARA FEDERAL DOS JUIZADOS ESPECIAIS CÍVEIS – SEÇÃO JUDICIÁRIA DE PERNAMBUCO</w:t>
      </w:r>
    </w:p>
    <w:p>
      <w:pPr>
        <w:spacing w:before="240" w:after="240" w:lineRule="auto" w:line="360"/>
        <w:jc w:val="both"/>
      </w:pPr>
    </w:p>
    <w:p>
      <w:pPr>
        <w:spacing w:before="240" w:after="240" w:lineRule="auto" w:line="360"/>
        <w:jc w:val="both"/>
      </w:pPr>
    </w:p>
    <w:p>
      <w:pPr>
        <w:spacing w:before="240" w:after="240" w:lineRule="auto" w:line="360"/>
        <w:jc w:val="both"/>
      </w:pPr>
    </w:p>
    <w:p>
      <w:pPr>
        <w:spacing w:before="240" w:after="240" w:lineRule="auto" w:line="360"/>
        <w:jc w:val="both"/>
      </w:pPr>
    </w:p>
    <w:p>
      <w:pPr>
        <w:spacing w:before="240" w:after="240" w:lineRule="auto" w:line="360"/>
        <w:jc w:val="both"/>
      </w:pPr>
    </w:p>
    <w:p>
      <w:pPr>
        <w:spacing w:before="240" w:after="240" w:lineRule="auto" w:line="360"/>
        <w:jc w:val="both"/>
      </w:pPr>
      <w:r>
        <w:rPr>
          <w:rFonts w:ascii="Segoe UI" w:hAnsi="Segoe UI" w:eastAsia="Segoe UI"/>
          <w:b/>
          <w:i w:val="0"/>
          <w:sz w:val="22"/>
        </w:rPr>
        <w:t>MARIA APARECIDA DA SILVA</w:t>
      </w:r>
      <w:r>
        <w:rPr>
          <w:rFonts w:ascii="Segoe UI" w:hAnsi="Segoe UI" w:eastAsia="Segoe UI"/>
          <w:b w:val="0"/>
          <w:i w:val="0"/>
          <w:sz w:val="22"/>
        </w:rPr>
        <w:t>, brasileira, ____, costureira, nascida em 12 de maio de 1968, inscrita no CPF sob o nº ____, portadora do RG nº ____, residente e domiciliada em ____</w:t>
      </w:r>
      <w:r>
        <w:rPr>
          <w:rFonts w:ascii="Segoe UI" w:hAnsi="Segoe UI" w:eastAsia="Segoe UI"/>
          <w:b w:val="0"/>
          <w:i w:val="0"/>
          <w:sz w:val="22"/>
        </w:rPr>
        <w:t xml:space="preserve">, através de sua advogada, Anna Tallyta Bione de Sá Carvalho (OAB/PE 27.251), com escritório profissional na R. dos Palmares, nº 263, Santo Amaro, Recife/PE, CEP 50.100-060, endereço eletrônico tallytabione@hotmail.com e telefone/whatsapp: (81) 98246-5922, vem à presença de Vossa Excelência propor a presente </w:t>
      </w:r>
      <w:r>
        <w:rPr>
          <w:rFonts w:ascii="Segoe UI" w:hAnsi="Segoe UI" w:eastAsia="Segoe UI"/>
          <w:b/>
          <w:i w:val="0"/>
          <w:sz w:val="22"/>
        </w:rPr>
        <w:t>AÇÃO DE RECONHECIMENTO DE TEMPO DE CONTRIBUIÇÃO C/C CONCESSÃO DE APOSENTADORIA POR TEMPO DE CONTRIBUIÇÃO E TUTELA DE URGÊNCIA</w:t>
      </w:r>
      <w:r>
        <w:rPr>
          <w:rFonts w:ascii="Segoe UI" w:hAnsi="Segoe UI" w:eastAsia="Segoe UI"/>
          <w:b w:val="0"/>
          <w:i w:val="0"/>
          <w:sz w:val="22"/>
        </w:rPr>
        <w:t>, em face do INSTITUTO NACIONAL DO SEGURO SOCIAL - INSS, CNPJ nº 29.979.036/0001-40, pelos fatos e fundamentos a seguir expostos.</w:t>
      </w:r>
    </w:p>
    <w:p>
      <w:pPr>
        <w:keepNext/>
        <w:spacing w:before="240" w:after="240" w:lineRule="auto" w:line="360"/>
        <w:jc w:val="both"/>
      </w:pPr>
      <w:r>
        <w:rPr>
          <w:rFonts w:ascii="Segoe UI" w:hAnsi="Segoe UI" w:eastAsia="Segoe UI"/>
          <w:b/>
          <w:i w:val="0"/>
          <w:sz w:val="22"/>
        </w:rPr>
        <w:t>I. PRELIMINARES</w:t>
      </w:r>
    </w:p>
    <w:p>
      <w:pPr>
        <w:keepNext/>
        <w:spacing w:before="240" w:after="240" w:lineRule="auto" w:line="360"/>
        <w:jc w:val="both"/>
      </w:pPr>
      <w:r>
        <w:rPr>
          <w:rFonts w:ascii="Segoe UI" w:hAnsi="Segoe UI" w:eastAsia="Segoe UI"/>
          <w:b/>
          <w:i w:val="0"/>
          <w:sz w:val="22"/>
        </w:rPr>
        <w:t>1.1 DA JUSTIÇA GRATUITA</w:t>
      </w:r>
    </w:p>
    <w:p>
      <w:pPr>
        <w:spacing w:before="240" w:after="240" w:lineRule="auto" w:line="360"/>
        <w:jc w:val="both"/>
      </w:pPr>
      <w:r>
        <w:rPr>
          <w:rFonts w:ascii="Segoe UI" w:hAnsi="Segoe UI" w:eastAsia="Segoe UI"/>
          <w:b w:val="0"/>
          <w:i w:val="0"/>
          <w:sz w:val="22"/>
        </w:rPr>
        <w:t>A autora declara não ter condições de arcar com as custas e os honorários processuais sem prejuízo do próprio sustento (declaração anexa), razão pela qual requer a concessão da gratuidade da justiça, com fundamento nos artigos 98 e 99 do Código de Processo Civil.</w:t>
      </w:r>
    </w:p>
    <w:p>
      <w:pPr>
        <w:keepNext/>
        <w:spacing w:before="240" w:after="240" w:lineRule="auto" w:line="360"/>
        <w:jc w:val="both"/>
      </w:pPr>
      <w:r>
        <w:rPr>
          <w:rFonts w:ascii="Segoe UI" w:hAnsi="Segoe UI" w:eastAsia="Segoe UI"/>
          <w:b/>
          <w:i w:val="0"/>
          <w:sz w:val="22"/>
        </w:rPr>
        <w:t>1.2 DO INTERESSE DE AGIR</w:t>
      </w:r>
    </w:p>
    <w:p>
      <w:pPr>
        <w:spacing w:before="240" w:after="240" w:lineRule="auto" w:line="360"/>
        <w:jc w:val="both"/>
      </w:pPr>
      <w:r>
        <w:rPr>
          <w:rFonts w:ascii="Segoe UI" w:hAnsi="Segoe UI" w:eastAsia="Segoe UI"/>
          <w:b w:val="0"/>
          <w:i w:val="0"/>
          <w:sz w:val="22"/>
        </w:rPr>
        <w:t>Houve requerimento administrativo (NB 123.456.789-0, DER de 15/08/2025), indeferido expressamente em 20/11/2025, conforme comunicação de decisão anexa. O interesse de agir está configurado, sem necessidade de esgotamento da via administrativa, conforme o Tema 350 de Repercussão Geral do Supremo Tribunal Federal (RE 631.240).</w:t>
      </w:r>
    </w:p>
    <w:p>
      <w:pPr>
        <w:keepNext/>
        <w:spacing w:before="240" w:after="240" w:lineRule="auto" w:line="360"/>
        <w:jc w:val="both"/>
      </w:pPr>
      <w:r>
        <w:rPr>
          <w:rFonts w:ascii="Segoe UI" w:hAnsi="Segoe UI" w:eastAsia="Segoe UI"/>
          <w:b/>
          <w:i w:val="0"/>
          <w:sz w:val="22"/>
        </w:rPr>
        <w:t>1.3 DA COMPETÊNCIA</w:t>
      </w:r>
    </w:p>
    <w:p>
      <w:pPr>
        <w:spacing w:before="240" w:after="240" w:lineRule="auto" w:line="360"/>
        <w:jc w:val="both"/>
      </w:pPr>
      <w:r>
        <w:rPr>
          <w:rFonts w:ascii="Segoe UI" w:hAnsi="Segoe UI" w:eastAsia="Segoe UI"/>
          <w:b w:val="0"/>
          <w:i w:val="0"/>
          <w:sz w:val="22"/>
        </w:rPr>
        <w:t>O Juizado Especial Federal é competente para o processamento e julgamento da presente demanda, observado o valor da causa, nos termos do artigo 3º da Lei nº 10.259, de 2001.</w:t>
      </w:r>
    </w:p>
    <w:p>
      <w:pPr>
        <w:keepNext/>
        <w:spacing w:before="240" w:after="240" w:lineRule="auto" w:line="360"/>
        <w:jc w:val="both"/>
      </w:pPr>
      <w:r>
        <w:rPr>
          <w:rFonts w:ascii="Segoe UI" w:hAnsi="Segoe UI" w:eastAsia="Segoe UI"/>
          <w:b/>
          <w:i w:val="0"/>
          <w:sz w:val="22"/>
        </w:rPr>
        <w:t>II. DOS FATOS</w:t>
      </w:r>
    </w:p>
    <w:p>
      <w:pPr>
        <w:spacing w:before="240" w:after="240" w:lineRule="auto" w:line="360"/>
        <w:jc w:val="both"/>
      </w:pPr>
      <w:r>
        <w:rPr>
          <w:rFonts w:ascii="Segoe UI" w:hAnsi="Segoe UI" w:eastAsia="Segoe UI"/>
          <w:b w:val="0"/>
          <w:i w:val="0"/>
          <w:sz w:val="22"/>
        </w:rPr>
        <w:t>A autora, costureira por toda a sua vida laboral, filiou-se ao Regime Geral de Previdência Social em 1988 e manteve os seguintes períodos de contribuição, conforme o CNIS e a CTPS anexos:</w:t>
      </w:r>
    </w:p>
    <w:p>
      <w:pPr>
        <w:spacing w:before="240" w:after="240" w:lineRule="auto" w:line="360"/>
        <w:ind w:left="794"/>
        <w:jc w:val="both"/>
      </w:pPr>
      <w:r>
        <w:rPr>
          <w:rFonts w:ascii="Segoe UI" w:hAnsi="Segoe UI" w:eastAsia="Segoe UI"/>
          <w:b w:val="0"/>
          <w:i w:val="0"/>
          <w:sz w:val="22"/>
        </w:rPr>
        <w:t xml:space="preserve">a) </w:t>
      </w:r>
      <w:r>
        <w:rPr>
          <w:rFonts w:ascii="Segoe UI" w:hAnsi="Segoe UI" w:eastAsia="Segoe UI"/>
          <w:b w:val="0"/>
          <w:i w:val="0"/>
          <w:sz w:val="22"/>
        </w:rPr>
        <w:t>de fevereiro de 1988 (CTPS) ou março de 1988 (CNIS) a dezembro de 1995, junto a Confecções Alfa Ltda., CNPJ nº 12.345.678/0001-90, com registro no CNIS e na CTPS;</w:t>
      </w:r>
    </w:p>
    <w:p>
      <w:pPr>
        <w:spacing w:before="240" w:after="240" w:lineRule="auto" w:line="360"/>
        <w:ind w:left="794"/>
        <w:jc w:val="both"/>
      </w:pPr>
      <w:r>
        <w:rPr>
          <w:rFonts w:ascii="Segoe UI" w:hAnsi="Segoe UI" w:eastAsia="Segoe UI"/>
          <w:b w:val="0"/>
          <w:i w:val="0"/>
          <w:sz w:val="22"/>
        </w:rPr>
        <w:t xml:space="preserve">b) </w:t>
      </w:r>
      <w:r>
        <w:rPr>
          <w:rFonts w:ascii="Segoe UI" w:hAnsi="Segoe UI" w:eastAsia="Segoe UI"/>
          <w:b w:val="0"/>
          <w:i w:val="0"/>
          <w:sz w:val="22"/>
        </w:rPr>
        <w:t>de janeiro de 1998 a junho de 2005, junto a Têxteis Beta S.A., CNPJ nº 98.765.432/0001-10, com registro no CNIS e na CTPS;</w:t>
      </w:r>
    </w:p>
    <w:p>
      <w:pPr>
        <w:spacing w:before="240" w:after="240" w:lineRule="auto" w:line="360"/>
        <w:ind w:left="794"/>
        <w:jc w:val="both"/>
      </w:pPr>
      <w:r>
        <w:rPr>
          <w:rFonts w:ascii="Segoe UI" w:hAnsi="Segoe UI" w:eastAsia="Segoe UI"/>
          <w:b w:val="0"/>
          <w:i w:val="0"/>
          <w:sz w:val="22"/>
        </w:rPr>
        <w:t xml:space="preserve">c) </w:t>
      </w:r>
      <w:r>
        <w:rPr>
          <w:rFonts w:ascii="Segoe UI" w:hAnsi="Segoe UI" w:eastAsia="Segoe UI"/>
          <w:b w:val="0"/>
          <w:i w:val="0"/>
          <w:sz w:val="22"/>
        </w:rPr>
        <w:t>de julho de 2005 a dezembro de 2005, junto a Confecções Delta ME, CNPJ nº 55.666.777/0001-88, com registro somente na CTPS;</w:t>
      </w:r>
    </w:p>
    <w:p>
      <w:pPr>
        <w:spacing w:before="240" w:after="240" w:lineRule="auto" w:line="360"/>
        <w:ind w:left="794"/>
        <w:jc w:val="both"/>
      </w:pPr>
      <w:r>
        <w:rPr>
          <w:rFonts w:ascii="Segoe UI" w:hAnsi="Segoe UI" w:eastAsia="Segoe UI"/>
          <w:b w:val="0"/>
          <w:i w:val="0"/>
          <w:sz w:val="22"/>
        </w:rPr>
        <w:t xml:space="preserve">d) </w:t>
      </w:r>
      <w:r>
        <w:rPr>
          <w:rFonts w:ascii="Segoe UI" w:hAnsi="Segoe UI" w:eastAsia="Segoe UI"/>
          <w:b w:val="0"/>
          <w:i w:val="0"/>
          <w:sz w:val="22"/>
        </w:rPr>
        <w:t>de março de 2006 a julho de 2010, como contribuinte individual, com recolhimentos comprovados por carnê e constantes do CNIS;</w:t>
      </w:r>
    </w:p>
    <w:p>
      <w:pPr>
        <w:spacing w:before="240" w:after="240" w:lineRule="auto" w:line="360"/>
        <w:ind w:left="794"/>
        <w:jc w:val="both"/>
      </w:pPr>
      <w:r>
        <w:rPr>
          <w:rFonts w:ascii="Segoe UI" w:hAnsi="Segoe UI" w:eastAsia="Segoe UI"/>
          <w:b w:val="0"/>
          <w:i w:val="0"/>
          <w:sz w:val="22"/>
        </w:rPr>
        <w:t xml:space="preserve">e) </w:t>
      </w:r>
      <w:r>
        <w:rPr>
          <w:rFonts w:ascii="Segoe UI" w:hAnsi="Segoe UI" w:eastAsia="Segoe UI"/>
          <w:b w:val="0"/>
          <w:i w:val="0"/>
          <w:sz w:val="22"/>
        </w:rPr>
        <w:t>de agosto de 2010 a dezembro de 2024, junto a Modas Gama ME, CNPJ nº 11.222.333/0001-44, com registro no CNIS e na CTPS.</w:t>
      </w:r>
    </w:p>
    <w:p>
      <w:pPr>
        <w:spacing w:before="240" w:after="240" w:lineRule="auto" w:line="360"/>
        <w:jc w:val="both"/>
      </w:pPr>
      <w:r>
        <w:rPr>
          <w:rFonts w:ascii="Segoe UI" w:hAnsi="Segoe UI" w:eastAsia="Segoe UI"/>
          <w:b w:val="0"/>
          <w:i w:val="0"/>
          <w:sz w:val="22"/>
        </w:rPr>
        <w:t>Em 15 de agosto de 2025, a autora requereu administrativamente a aposentadoria por tempo de contribuição (NB 123.456.789-0). Em 20 de novembro de 2025, o INSS indeferiu o pedido, afirmando que, segundo a análise do próprio CNIS, a autora teria apenas 28 (vinte e oito) anos, 4 (quatro) meses e 12 (doze) dias de tempo de contribuição, tempo inferior aos 30 (trinta) anos exigidos.</w:t>
      </w:r>
    </w:p>
    <w:p>
      <w:pPr>
        <w:spacing w:before="240" w:after="240" w:lineRule="auto" w:line="360"/>
        <w:jc w:val="both"/>
      </w:pPr>
      <w:r>
        <w:rPr>
          <w:rFonts w:ascii="Segoe UI" w:hAnsi="Segoe UI" w:eastAsia="Segoe UI"/>
          <w:b/>
          <w:i w:val="0"/>
          <w:sz w:val="22"/>
        </w:rPr>
        <w:t>A contagem realizada pelo INSS é incompatível com o próprio CNIS que invoca como fundamento.</w:t>
      </w:r>
      <w:r>
        <w:rPr>
          <w:rFonts w:ascii="Segoe UI" w:hAnsi="Segoe UI" w:eastAsia="Segoe UI"/>
          <w:b w:val="0"/>
          <w:i w:val="0"/>
          <w:sz w:val="22"/>
        </w:rPr>
        <w:t xml:space="preserve"> Somados apenas os períodos descritos nas alíneas "a" (a partir de março de 1988), "b", "d" e "e" acima, todos constantes do CNIS, a autora alcança 410 (quatrocentos e dez) meses, equivalentes a 34 (trinta e quatro) anos e 2 (dois) meses de contribuição. A diferença de 70 (setenta) meses em relação à contagem administrativa decorre, em sua maior parte, da desconsideração do período de contribuinte individual descrito na alínea "d", não obstante conste do próprio CNIS como comprovado por carnê.</w:t>
      </w:r>
    </w:p>
    <w:p>
      <w:pPr>
        <w:spacing w:before="240" w:after="240" w:lineRule="auto" w:line="360"/>
        <w:jc w:val="both"/>
      </w:pPr>
      <w:r>
        <w:rPr>
          <w:rFonts w:ascii="Segoe UI" w:hAnsi="Segoe UI" w:eastAsia="Segoe UI"/>
          <w:b w:val="0"/>
          <w:i w:val="0"/>
          <w:sz w:val="22"/>
        </w:rPr>
        <w:t>Somados ainda o vínculo com a Confecções Delta ME (alínea "c", 6 meses, anotado em CTPS) e o mês de fevereiro de 1988 (data de admissão anotada em CTPS), o total alcança 417 (quatrocentos e dezessete) meses, equivalentes a 34 (trinta e quatro) anos e 9 (nove) meses de contribuição.</w:t>
      </w:r>
    </w:p>
    <w:p>
      <w:pPr>
        <w:spacing w:before="240" w:after="240" w:lineRule="auto" w:line="360"/>
        <w:jc w:val="both"/>
      </w:pPr>
      <w:r>
        <w:rPr>
          <w:rFonts w:ascii="Segoe UI" w:hAnsi="Segoe UI" w:eastAsia="Segoe UI"/>
          <w:b w:val="0"/>
          <w:i w:val="0"/>
          <w:sz w:val="22"/>
        </w:rPr>
        <w:t>A decisão administrativa não indicou qual período foi glosado, tampouco o motivo da glosa, e não examinou as regras de transição da Emenda Constitucional nº 103, de 2019. A autora completou 57 (cinquenta e sete) anos de idade em 12 de maio de 2025, data anterior à data de entrada do requerimento.</w:t>
      </w:r>
    </w:p>
    <w:p>
      <w:pPr>
        <w:keepNext/>
        <w:spacing w:before="240" w:after="240" w:lineRule="auto" w:line="360"/>
        <w:jc w:val="both"/>
      </w:pPr>
      <w:r>
        <w:rPr>
          <w:rFonts w:ascii="Segoe UI" w:hAnsi="Segoe UI" w:eastAsia="Segoe UI"/>
          <w:b/>
          <w:i w:val="0"/>
          <w:sz w:val="22"/>
        </w:rPr>
        <w:t>III. DO DIREITO</w:t>
      </w:r>
    </w:p>
    <w:p>
      <w:pPr>
        <w:keepNext/>
        <w:spacing w:before="240" w:after="240" w:lineRule="auto" w:line="360"/>
        <w:jc w:val="both"/>
      </w:pPr>
      <w:r>
        <w:rPr>
          <w:rFonts w:ascii="Segoe UI" w:hAnsi="Segoe UI" w:eastAsia="Segoe UI"/>
          <w:b/>
          <w:i w:val="0"/>
          <w:sz w:val="22"/>
        </w:rPr>
        <w:t>3.1 DA REGRA APLICÁVEL: TRANSIÇÃO DO PEDÁGIO DE 100% (EC 103/2019, ART. 20)</w:t>
      </w:r>
    </w:p>
    <w:p>
      <w:pPr>
        <w:spacing w:before="240" w:after="240" w:lineRule="auto" w:line="360"/>
        <w:jc w:val="both"/>
      </w:pPr>
      <w:r>
        <w:rPr>
          <w:rFonts w:ascii="Segoe UI" w:hAnsi="Segoe UI" w:eastAsia="Segoe UI"/>
          <w:b w:val="0"/>
          <w:i w:val="0"/>
          <w:sz w:val="22"/>
        </w:rPr>
        <w:t>A autora filiou-se ao Regime Geral de Previdência Social antes de 13 de novembro de 2019 e, por essa razão, tem direito à aposentadoria quando preencher, cumulativamente: 57 (cinquenta e sete) anos de idade; 30 (trinta) anos de contribuição; e período adicional igual ao tempo que, em 13 de novembro de 2019, faltava para completar os 30 (trinta) anos, nos termos do artigo 20, incisos I, II e IV, da Emenda Constitucional nº 103, de 2019, regra reproduzida no artigo 324 da Instrução Normativa PRES/INSS nº 128, de 2022.</w:t>
      </w:r>
    </w:p>
    <w:p>
      <w:pPr>
        <w:spacing w:before="240" w:after="240" w:lineRule="auto" w:line="360"/>
        <w:jc w:val="both"/>
      </w:pPr>
      <w:r>
        <w:rPr>
          <w:rFonts w:ascii="Segoe UI" w:hAnsi="Segoe UI" w:eastAsia="Segoe UI"/>
          <w:b w:val="0"/>
          <w:i w:val="0"/>
          <w:sz w:val="22"/>
        </w:rPr>
        <w:t>Todos os requisitos estão cumpridos considerando exclusivamente o CNIS: a idade de 57 anos foi completada em 12 de maio de 2025, antes da data de entrada do requerimento; o tempo de contribuição de 34 anos e 2 meses supera os 30 anos exigidos; e o pedágio, correspondente a cerca de 11 (onze) meses e 17 (dezessete) dias além dos 30 anos, foi cumprido por volta de novembro de 2021, em razão da contribuição ininterrupta junto à Modas Gama ME até dezembro de 2024.</w:t>
      </w:r>
    </w:p>
    <w:p>
      <w:pPr>
        <w:spacing w:before="240" w:after="240" w:lineRule="auto" w:line="360"/>
        <w:jc w:val="both"/>
      </w:pPr>
      <w:r>
        <w:rPr>
          <w:rFonts w:ascii="Segoe UI" w:hAnsi="Segoe UI" w:eastAsia="Segoe UI"/>
          <w:b w:val="0"/>
          <w:i w:val="0"/>
          <w:sz w:val="22"/>
        </w:rPr>
        <w:t>O valor do benefício corresponde a 100% (cem por cento) da média dos salários de contribuição, nos termos do artigo 20, parágrafo 2º, inciso II, combinado com o artigo 26, caput e parágrafo 3º, inciso I, da Emenda Constitucional nº 103, de 2019, e do artigo 233, inciso IV, alínea "e", da Instrução Normativa PRES/INSS nº 128, de 2022.</w:t>
      </w:r>
    </w:p>
    <w:p>
      <w:pPr>
        <w:keepNext/>
        <w:spacing w:before="240" w:after="240" w:lineRule="auto" w:line="360"/>
        <w:jc w:val="both"/>
      </w:pPr>
      <w:r>
        <w:rPr>
          <w:rFonts w:ascii="Segoe UI" w:hAnsi="Segoe UI" w:eastAsia="Segoe UI"/>
          <w:b/>
          <w:i w:val="0"/>
          <w:sz w:val="22"/>
        </w:rPr>
        <w:t>3.2 DO PEDIDO SUCESSIVO: TRANSIÇÃO DO PEDÁGIO DE 50% (EC 103/2019, ART. 17)</w:t>
      </w:r>
    </w:p>
    <w:p>
      <w:pPr>
        <w:spacing w:before="240" w:after="240" w:lineRule="auto" w:line="360"/>
        <w:jc w:val="both"/>
      </w:pPr>
      <w:r>
        <w:rPr>
          <w:rFonts w:ascii="Segoe UI" w:hAnsi="Segoe UI" w:eastAsia="Segoe UI"/>
          <w:b w:val="0"/>
          <w:i w:val="0"/>
          <w:sz w:val="22"/>
        </w:rPr>
        <w:t>Sucessivamente, a autora preenche também a regra do artigo 17 da Emenda Constitucional nº 103, de 2019 (artigo 323 da Instrução Normativa PRES/INSS nº 128, de 2022): em 13 de novembro de 2019 contava com mais de 28 (vinte e oito) anos de contribuição (29 anos e 13 dias, considerando somente o CNIS); tem os 30 anos exigidos; e cumpriu o adicional de 50% do tempo que faltava (cerca de 6 meses), sem exigência de idade mínima. O valor corresponde à média dos salários de contribuição multiplicada pelo fator previdenciário (artigo 17, parágrafo único, da Emenda Constitucional nº 103, de 2019), cuja constitucionalidade foi afirmada pelo Supremo Tribunal Federal no Tema 1.091 de Repercussão Geral (RE 1.221.630). Trata-se de pedido sucessivo, por tender a resultar em valor inferior ao do pedido principal, o que deve ser confirmado pelo cálculo da renda mensal inicial.</w:t>
      </w:r>
    </w:p>
    <w:p>
      <w:pPr>
        <w:keepNext/>
        <w:spacing w:before="240" w:after="240" w:lineRule="auto" w:line="360"/>
        <w:jc w:val="both"/>
      </w:pPr>
      <w:r>
        <w:rPr>
          <w:rFonts w:ascii="Segoe UI" w:hAnsi="Segoe UI" w:eastAsia="Segoe UI"/>
          <w:b/>
          <w:i w:val="0"/>
          <w:sz w:val="22"/>
        </w:rPr>
        <w:t>3.3 DO PERÍODO DE CONTRIBUINTE INDIVIDUAL (MARÇO DE 2006 A JULHO DE 2010)</w:t>
      </w:r>
    </w:p>
    <w:p>
      <w:pPr>
        <w:spacing w:before="240" w:after="240" w:lineRule="auto" w:line="360"/>
        <w:jc w:val="both"/>
      </w:pPr>
      <w:r>
        <w:rPr>
          <w:rFonts w:ascii="Segoe UI" w:hAnsi="Segoe UI" w:eastAsia="Segoe UI"/>
          <w:b w:val="0"/>
          <w:i w:val="0"/>
          <w:sz w:val="22"/>
        </w:rPr>
        <w:t>O período deve ser integralmente computado. Os dados do CNIS fazem prova da filiação à Previdência Social, do tempo de contribuição e dos salários de contribuição, nos termos do artigo 19 do Decreto nº 3.048, de 1999. Os recolhimentos realizados em época própria e constantes do CNIS são reconhecidos automaticamente, conforme o artigo 207 da Instrução Normativa PRES/INSS nº 128, de 2022. Ainda que algum recolhimento tenha sido feito em atraso, permanece computável como tempo de contribuição, desde que anterior à data do fato gerador, presumindo-se regular o recolhimento em atraso que conste do CNIS sem indicador de pendência (artigo 208, caput e parágrafos 1º e 2º, da mesma Instrução Normativa). Esse ponto será oportunamente confirmado pelas guias de recolhimento, objeto de diligência em curso.</w:t>
      </w:r>
    </w:p>
    <w:p>
      <w:pPr>
        <w:keepNext/>
        <w:spacing w:before="240" w:after="240" w:lineRule="auto" w:line="360"/>
        <w:jc w:val="both"/>
      </w:pPr>
      <w:r>
        <w:rPr>
          <w:rFonts w:ascii="Segoe UI" w:hAnsi="Segoe UI" w:eastAsia="Segoe UI"/>
          <w:b/>
          <w:i w:val="0"/>
          <w:sz w:val="22"/>
        </w:rPr>
        <w:t>3.4 DO VÍNCULO COM A CONFECÇÕES DELTA ME E DA ADMISSÃO EM FEVEREIRO DE 1988</w:t>
      </w:r>
    </w:p>
    <w:p>
      <w:pPr>
        <w:spacing w:before="240" w:after="240" w:lineRule="auto" w:line="360"/>
        <w:jc w:val="both"/>
      </w:pPr>
      <w:r>
        <w:rPr>
          <w:rFonts w:ascii="Segoe UI" w:hAnsi="Segoe UI" w:eastAsia="Segoe UI"/>
          <w:b w:val="0"/>
          <w:i w:val="0"/>
          <w:sz w:val="22"/>
        </w:rPr>
        <w:t>Para o segurado empregado, presume-se o recolhimento das contribuições desde que comprovado o exercício da atividade (artigo 206, parágrafo 6º, da Instrução Normativa PRES/INSS nº 128, de 2022), sendo o recolhimento obrigação do empregador, cuja omissão não pode prejudicar a segurada. Ausente o dado no CNIS, o período se comprova por documentos contemporâneos com datas de início e fim (artigo 19-B do Decreto nº 3.048, de 1999), sendo a anotação em CTPS sem rasura o documento contemporâneo por excelência. Esses 7 (sete) meses adicionais reforçam o quadro probatório, mas não são necessários ao direito pretendido, que se sustenta apenas no CNIS, conforme exposto no item 3.1.</w:t>
      </w:r>
    </w:p>
    <w:p>
      <w:pPr>
        <w:keepNext/>
        <w:spacing w:before="240" w:after="240" w:lineRule="auto" w:line="360"/>
        <w:jc w:val="both"/>
      </w:pPr>
      <w:r>
        <w:rPr>
          <w:rFonts w:ascii="Segoe UI" w:hAnsi="Segoe UI" w:eastAsia="Segoe UI"/>
          <w:b/>
          <w:i w:val="0"/>
          <w:sz w:val="22"/>
        </w:rPr>
        <w:t>3.5 DA CARÊNCIA</w:t>
      </w:r>
    </w:p>
    <w:p>
      <w:pPr>
        <w:spacing w:before="240" w:after="240" w:lineRule="auto" w:line="360"/>
        <w:jc w:val="both"/>
      </w:pPr>
      <w:r>
        <w:rPr>
          <w:rFonts w:ascii="Segoe UI" w:hAnsi="Segoe UI" w:eastAsia="Segoe UI"/>
          <w:b w:val="0"/>
          <w:i w:val="0"/>
          <w:sz w:val="22"/>
        </w:rPr>
        <w:t>São exigidas 180 (cento e oitenta) contribuições mensais, nos termos do artigo 25, inciso II, da Lei nº 8.213, de 1991. A autora conta com 410 (quatrocentos e dez) contribuições considerando somente o CNIS, de modo que o requisito está integralmente cumprido e não foi objeto de controvérsia pelo INSS.</w:t>
      </w:r>
    </w:p>
    <w:p>
      <w:pPr>
        <w:keepNext/>
        <w:spacing w:before="240" w:after="240" w:lineRule="auto" w:line="360"/>
        <w:jc w:val="both"/>
      </w:pPr>
      <w:r>
        <w:rPr>
          <w:rFonts w:ascii="Segoe UI" w:hAnsi="Segoe UI" w:eastAsia="Segoe UI"/>
          <w:b/>
          <w:i w:val="0"/>
          <w:sz w:val="22"/>
        </w:rPr>
        <w:t>3.6 DA QUALIDADE DE SEGURADA</w:t>
      </w:r>
    </w:p>
    <w:p>
      <w:pPr>
        <w:spacing w:before="240" w:after="240" w:lineRule="auto" w:line="360"/>
        <w:jc w:val="both"/>
      </w:pPr>
      <w:r>
        <w:rPr>
          <w:rFonts w:ascii="Segoe UI" w:hAnsi="Segoe UI" w:eastAsia="Segoe UI"/>
          <w:b w:val="0"/>
          <w:i w:val="0"/>
          <w:sz w:val="22"/>
        </w:rPr>
        <w:t>Os requisitos foram implementados enquanto a autora ainda contribuía, com o pedágio de 100% cumprido por volta de novembro de 2021 e vínculo mantido até dezembro de 2024. A perda posterior da qualidade de segurada não prejudica o direito já implementado. De todo modo, a data de entrada do requerimento, em 15 de agosto de 2025, está dentro do período de graça contado da última contribuição, em dezembro de 2024, nos termos do artigo 15 da Lei nº 8.213, de 1991.</w:t>
      </w:r>
    </w:p>
    <w:p>
      <w:pPr>
        <w:keepNext/>
        <w:spacing w:before="240" w:after="240" w:lineRule="auto" w:line="360"/>
        <w:jc w:val="both"/>
      </w:pPr>
      <w:r>
        <w:rPr>
          <w:rFonts w:ascii="Segoe UI" w:hAnsi="Segoe UI" w:eastAsia="Segoe UI"/>
          <w:b/>
          <w:i w:val="0"/>
          <w:sz w:val="22"/>
        </w:rPr>
        <w:t>3.7 DO TERMO INICIAL DO BENEFÍCIO E DA PRESCRIÇÃO</w:t>
      </w:r>
    </w:p>
    <w:p>
      <w:pPr>
        <w:spacing w:before="240" w:after="240" w:lineRule="auto" w:line="360"/>
        <w:jc w:val="both"/>
      </w:pPr>
      <w:r>
        <w:rPr>
          <w:rFonts w:ascii="Segoe UI" w:hAnsi="Segoe UI" w:eastAsia="Segoe UI"/>
          <w:b w:val="0"/>
          <w:i w:val="0"/>
          <w:sz w:val="22"/>
        </w:rPr>
        <w:t>Preenchidos os requisitos na data de entrada do requerimento, o termo inicial do benefício é 15 de agosto de 2025, conforme a Súmula nº 33 da Turma Nacional de Uniformização. Não há parcela prescrita: a prescrição quinquenal conta-se da data em que cada prestação deveria ter sido paga, nos termos do artigo 595 da Instrução Normativa PRES/INSS nº 128, de 2022, e do parágrafo único do artigo 103 da Lei nº 8.213, de 1991. Tampouco há decadência contra a rediscussão do indeferimento administrativo, conforme decidiu o Supremo Tribunal Federal na ADI nº 6.096.</w:t>
      </w:r>
    </w:p>
    <w:p>
      <w:pPr>
        <w:keepNext/>
        <w:spacing w:before="240" w:after="240" w:lineRule="auto" w:line="360"/>
        <w:jc w:val="both"/>
      </w:pPr>
      <w:r>
        <w:rPr>
          <w:rFonts w:ascii="Segoe UI" w:hAnsi="Segoe UI" w:eastAsia="Segoe UI"/>
          <w:b/>
          <w:i w:val="0"/>
          <w:sz w:val="22"/>
        </w:rPr>
        <w:t>3.8 DO BENEFÍCIO MAIS VANTAJOSO</w:t>
      </w:r>
    </w:p>
    <w:p>
      <w:pPr>
        <w:spacing w:before="240" w:after="240" w:lineRule="auto" w:line="360"/>
        <w:jc w:val="both"/>
      </w:pPr>
      <w:r>
        <w:rPr>
          <w:rFonts w:ascii="Segoe UI" w:hAnsi="Segoe UI" w:eastAsia="Segoe UI"/>
          <w:b w:val="0"/>
          <w:i w:val="0"/>
          <w:sz w:val="22"/>
        </w:rPr>
        <w:t>O próprio INSS deve reconhecer o benefício mais vantajoso quando houver direito a mais de uma regra de transição, nos termos do artigo 577, inciso I, da Instrução Normativa PRES/INSS nº 128, de 2022. Requer-se a concessão pela regra que resultar em maior renda mensal inicial.</w:t>
      </w:r>
    </w:p>
    <w:p>
      <w:pPr>
        <w:keepNext/>
        <w:spacing w:before="240" w:after="240" w:lineRule="auto" w:line="360"/>
        <w:jc w:val="both"/>
      </w:pPr>
      <w:r>
        <w:rPr>
          <w:rFonts w:ascii="Segoe UI" w:hAnsi="Segoe UI" w:eastAsia="Segoe UI"/>
          <w:b/>
          <w:i w:val="0"/>
          <w:sz w:val="22"/>
        </w:rPr>
        <w:t>IV. DA JURISPRUDÊNCIA</w:t>
      </w:r>
    </w:p>
    <w:p>
      <w:pPr>
        <w:spacing w:before="240" w:after="240" w:lineRule="auto" w:line="360"/>
        <w:jc w:val="both"/>
      </w:pPr>
      <w:r>
        <w:rPr>
          <w:rFonts w:ascii="Segoe UI" w:hAnsi="Segoe UI" w:eastAsia="Segoe UI"/>
          <w:b w:val="0"/>
          <w:i w:val="0"/>
          <w:sz w:val="22"/>
        </w:rPr>
        <w:t>A tese ora deduzida está amparada nos seguintes precedentes:</w:t>
      </w:r>
    </w:p>
    <w:p>
      <w:pPr>
        <w:spacing w:before="240" w:after="240" w:lineRule="auto" w:line="360"/>
        <w:ind w:left="794"/>
        <w:jc w:val="both"/>
      </w:pPr>
      <w:r>
        <w:rPr>
          <w:rFonts w:ascii="Segoe UI" w:hAnsi="Segoe UI" w:eastAsia="Segoe UI"/>
          <w:b w:val="0"/>
          <w:i w:val="0"/>
          <w:sz w:val="22"/>
        </w:rPr>
        <w:t xml:space="preserve">a) </w:t>
      </w:r>
      <w:r>
        <w:rPr>
          <w:rFonts w:ascii="Segoe UI" w:hAnsi="Segoe UI" w:eastAsia="Segoe UI"/>
          <w:b w:val="0"/>
          <w:i w:val="0"/>
          <w:sz w:val="22"/>
        </w:rPr>
        <w:t>Supremo Tribunal Federal, Tema 350 de Repercussão Geral (RE 631.240): dispensa de esgotamento da via administrativa quando há prévio requerimento e indeferimento;</w:t>
      </w:r>
    </w:p>
    <w:p>
      <w:pPr>
        <w:spacing w:before="240" w:after="240" w:lineRule="auto" w:line="360"/>
        <w:ind w:left="794"/>
        <w:jc w:val="both"/>
      </w:pPr>
      <w:r>
        <w:rPr>
          <w:rFonts w:ascii="Segoe UI" w:hAnsi="Segoe UI" w:eastAsia="Segoe UI"/>
          <w:b w:val="0"/>
          <w:i w:val="0"/>
          <w:sz w:val="22"/>
        </w:rPr>
        <w:t xml:space="preserve">b) </w:t>
      </w:r>
      <w:r>
        <w:rPr>
          <w:rFonts w:ascii="Segoe UI" w:hAnsi="Segoe UI" w:eastAsia="Segoe UI"/>
          <w:b w:val="0"/>
          <w:i w:val="0"/>
          <w:sz w:val="22"/>
        </w:rPr>
        <w:t>Turma Nacional de Uniformização, Súmula nº 33: fixação do termo inicial do benefício na data de entrada do requerimento quando os requisitos já estavam preenchidos;</w:t>
      </w:r>
    </w:p>
    <w:p>
      <w:pPr>
        <w:spacing w:before="240" w:after="240" w:lineRule="auto" w:line="360"/>
        <w:ind w:left="794"/>
        <w:jc w:val="both"/>
      </w:pPr>
      <w:r>
        <w:rPr>
          <w:rFonts w:ascii="Segoe UI" w:hAnsi="Segoe UI" w:eastAsia="Segoe UI"/>
          <w:b w:val="0"/>
          <w:i w:val="0"/>
          <w:sz w:val="22"/>
        </w:rPr>
        <w:t xml:space="preserve">c) </w:t>
      </w:r>
      <w:r>
        <w:rPr>
          <w:rFonts w:ascii="Segoe UI" w:hAnsi="Segoe UI" w:eastAsia="Segoe UI"/>
          <w:b w:val="0"/>
          <w:i w:val="0"/>
          <w:sz w:val="22"/>
        </w:rPr>
        <w:t>Supremo Tribunal Federal, ADI nº 6.096: inexistência de decadência para a rediscussão de indeferimento, cancelamento ou cessação de benefício;</w:t>
      </w:r>
    </w:p>
    <w:p>
      <w:pPr>
        <w:spacing w:before="240" w:after="240" w:lineRule="auto" w:line="360"/>
        <w:ind w:left="794"/>
        <w:jc w:val="both"/>
      </w:pPr>
      <w:r>
        <w:rPr>
          <w:rFonts w:ascii="Segoe UI" w:hAnsi="Segoe UI" w:eastAsia="Segoe UI"/>
          <w:b w:val="0"/>
          <w:i w:val="0"/>
          <w:sz w:val="22"/>
        </w:rPr>
        <w:t xml:space="preserve">d) </w:t>
      </w:r>
      <w:r>
        <w:rPr>
          <w:rFonts w:ascii="Segoe UI" w:hAnsi="Segoe UI" w:eastAsia="Segoe UI"/>
          <w:b w:val="0"/>
          <w:i w:val="0"/>
          <w:sz w:val="22"/>
        </w:rPr>
        <w:t>Supremo Tribunal Federal, Tema 1.091 de Repercussão Geral (RE 1.221.630): constitucionalidade do fator previdenciário, aplicável apenas ao pedido sucessivo do item 3.2.</w:t>
      </w:r>
    </w:p>
    <w:p>
      <w:pPr>
        <w:keepNext/>
        <w:spacing w:before="240" w:after="240" w:lineRule="auto" w:line="360"/>
        <w:jc w:val="both"/>
      </w:pPr>
      <w:r>
        <w:rPr>
          <w:rFonts w:ascii="Segoe UI" w:hAnsi="Segoe UI" w:eastAsia="Segoe UI"/>
          <w:b/>
          <w:i w:val="0"/>
          <w:sz w:val="22"/>
        </w:rPr>
        <w:t>V. DA TUTELA DE URGÊNCIA</w:t>
      </w:r>
    </w:p>
    <w:p>
      <w:pPr>
        <w:spacing w:before="240" w:after="240" w:lineRule="auto" w:line="360"/>
        <w:jc w:val="both"/>
      </w:pPr>
      <w:r>
        <w:rPr>
          <w:rFonts w:ascii="Segoe UI" w:hAnsi="Segoe UI" w:eastAsia="Segoe UI"/>
          <w:b w:val="0"/>
          <w:i w:val="0"/>
          <w:sz w:val="22"/>
        </w:rPr>
        <w:t>A probabilidade do direito está demonstrada pelos requisitos comprovados por documento público do próprio réu, o CNIS. O perigo de dano decorre da natureza alimentar do benefício pleiteado, associado à ausência de contribuição e de renda da autora desde janeiro de 2025, a confirmar com a cliente. Requer-se, assim, a antecipação dos efeitos da tutela, nos termos do artigo 300 do Código de Processo Civil, para a imediata implantação do benefício, observada a avaliação definitiva do advogado responsável quanto à situação socioeconômica atual da autora.</w:t>
      </w:r>
    </w:p>
    <w:p>
      <w:pPr>
        <w:keepNext/>
        <w:spacing w:before="240" w:after="240" w:lineRule="auto" w:line="360"/>
        <w:jc w:val="both"/>
      </w:pPr>
      <w:r>
        <w:rPr>
          <w:rFonts w:ascii="Segoe UI" w:hAnsi="Segoe UI" w:eastAsia="Segoe UI"/>
          <w:b/>
          <w:i w:val="0"/>
          <w:sz w:val="22"/>
        </w:rPr>
        <w:t>VI. DOS PEDIDOS</w:t>
      </w:r>
    </w:p>
    <w:p>
      <w:pPr>
        <w:spacing w:before="240" w:after="240" w:lineRule="auto" w:line="360"/>
        <w:jc w:val="both"/>
      </w:pPr>
      <w:r>
        <w:rPr>
          <w:rFonts w:ascii="Segoe UI" w:hAnsi="Segoe UI" w:eastAsia="Segoe UI"/>
          <w:b w:val="0"/>
          <w:i w:val="0"/>
          <w:sz w:val="22"/>
        </w:rPr>
        <w:t>Diante do exposto, requer-se:</w:t>
      </w:r>
    </w:p>
    <w:p>
      <w:pPr>
        <w:spacing w:before="240" w:after="240" w:lineRule="auto" w:line="360"/>
        <w:ind w:left="794"/>
        <w:jc w:val="both"/>
      </w:pPr>
      <w:r>
        <w:rPr>
          <w:rFonts w:ascii="Segoe UI" w:hAnsi="Segoe UI" w:eastAsia="Segoe UI"/>
          <w:b w:val="0"/>
          <w:i w:val="0"/>
          <w:sz w:val="22"/>
        </w:rPr>
        <w:t xml:space="preserve">a) </w:t>
      </w:r>
      <w:r>
        <w:rPr>
          <w:rFonts w:ascii="Segoe UI" w:hAnsi="Segoe UI" w:eastAsia="Segoe UI"/>
          <w:b w:val="0"/>
          <w:i w:val="0"/>
          <w:sz w:val="22"/>
        </w:rPr>
        <w:t>a concessão da gratuidade da justiça;</w:t>
      </w:r>
    </w:p>
    <w:p>
      <w:pPr>
        <w:spacing w:before="240" w:after="240" w:lineRule="auto" w:line="360"/>
        <w:ind w:left="794"/>
        <w:jc w:val="both"/>
      </w:pPr>
      <w:r>
        <w:rPr>
          <w:rFonts w:ascii="Segoe UI" w:hAnsi="Segoe UI" w:eastAsia="Segoe UI"/>
          <w:b w:val="0"/>
          <w:i w:val="0"/>
          <w:sz w:val="22"/>
        </w:rPr>
        <w:t xml:space="preserve">b) </w:t>
      </w:r>
      <w:r>
        <w:rPr>
          <w:rFonts w:ascii="Segoe UI" w:hAnsi="Segoe UI" w:eastAsia="Segoe UI"/>
          <w:b w:val="0"/>
          <w:i w:val="0"/>
          <w:sz w:val="22"/>
        </w:rPr>
        <w:t>a citação do INSS para, querendo, apresentar contestação;</w:t>
      </w:r>
    </w:p>
    <w:p>
      <w:pPr>
        <w:spacing w:before="240" w:after="240" w:lineRule="auto" w:line="360"/>
        <w:ind w:left="794"/>
        <w:jc w:val="both"/>
      </w:pPr>
      <w:r>
        <w:rPr>
          <w:rFonts w:ascii="Segoe UI" w:hAnsi="Segoe UI" w:eastAsia="Segoe UI"/>
          <w:b w:val="0"/>
          <w:i w:val="0"/>
          <w:sz w:val="22"/>
        </w:rPr>
        <w:t xml:space="preserve">c) </w:t>
      </w:r>
      <w:r>
        <w:rPr>
          <w:rFonts w:ascii="Segoe UI" w:hAnsi="Segoe UI" w:eastAsia="Segoe UI"/>
          <w:b w:val="0"/>
          <w:i w:val="0"/>
          <w:sz w:val="22"/>
        </w:rPr>
        <w:t>a intimação do INSS para juntar cópia integral do processo administrativo NB 123.456.789-0;</w:t>
      </w:r>
    </w:p>
    <w:p>
      <w:pPr>
        <w:spacing w:before="240" w:after="240" w:lineRule="auto" w:line="360"/>
        <w:ind w:left="794"/>
        <w:jc w:val="both"/>
      </w:pPr>
      <w:r>
        <w:rPr>
          <w:rFonts w:ascii="Segoe UI" w:hAnsi="Segoe UI" w:eastAsia="Segoe UI"/>
          <w:b w:val="0"/>
          <w:i w:val="0"/>
          <w:sz w:val="22"/>
        </w:rPr>
        <w:t xml:space="preserve">d) </w:t>
      </w:r>
      <w:r>
        <w:rPr>
          <w:rFonts w:ascii="Segoe UI" w:hAnsi="Segoe UI" w:eastAsia="Segoe UI"/>
          <w:b w:val="0"/>
          <w:i w:val="0"/>
          <w:sz w:val="22"/>
        </w:rPr>
        <w:t>a antecipação dos efeitos da tutela, para a imediata implantação do benefício;</w:t>
      </w:r>
    </w:p>
    <w:p>
      <w:pPr>
        <w:spacing w:before="240" w:after="240" w:lineRule="auto" w:line="360"/>
        <w:ind w:left="794"/>
        <w:jc w:val="both"/>
      </w:pPr>
      <w:r>
        <w:rPr>
          <w:rFonts w:ascii="Segoe UI" w:hAnsi="Segoe UI" w:eastAsia="Segoe UI"/>
          <w:b w:val="0"/>
          <w:i w:val="0"/>
          <w:sz w:val="22"/>
        </w:rPr>
        <w:t xml:space="preserve">e) </w:t>
      </w:r>
      <w:r>
        <w:rPr>
          <w:rFonts w:ascii="Segoe UI" w:hAnsi="Segoe UI" w:eastAsia="Segoe UI"/>
          <w:b w:val="0"/>
          <w:i w:val="0"/>
          <w:sz w:val="22"/>
        </w:rPr>
        <w:t>o reconhecimento e o cômputo, como tempo de contribuição, do período de contribuinte individual de março de 2006 a julho de 2010;</w:t>
      </w:r>
    </w:p>
    <w:p>
      <w:pPr>
        <w:spacing w:before="240" w:after="240" w:lineRule="auto" w:line="360"/>
        <w:ind w:left="794"/>
        <w:jc w:val="both"/>
      </w:pPr>
      <w:r>
        <w:rPr>
          <w:rFonts w:ascii="Segoe UI" w:hAnsi="Segoe UI" w:eastAsia="Segoe UI"/>
          <w:b w:val="0"/>
          <w:i w:val="0"/>
          <w:sz w:val="22"/>
        </w:rPr>
        <w:t xml:space="preserve">f) </w:t>
      </w:r>
      <w:r>
        <w:rPr>
          <w:rFonts w:ascii="Segoe UI" w:hAnsi="Segoe UI" w:eastAsia="Segoe UI"/>
          <w:b w:val="0"/>
          <w:i w:val="0"/>
          <w:sz w:val="22"/>
        </w:rPr>
        <w:t>o reconhecimento do vínculo empregatício com a Confecções Delta ME, de julho de 2005 a dezembro de 2005, e da admissão na Confecções Alfa Ltda. em fevereiro de 1988, com a respectiva averbação;</w:t>
      </w:r>
    </w:p>
    <w:p>
      <w:pPr>
        <w:spacing w:before="240" w:after="240" w:lineRule="auto" w:line="360"/>
        <w:ind w:left="794"/>
        <w:jc w:val="both"/>
      </w:pPr>
      <w:r>
        <w:rPr>
          <w:rFonts w:ascii="Segoe UI" w:hAnsi="Segoe UI" w:eastAsia="Segoe UI"/>
          <w:b w:val="0"/>
          <w:i w:val="0"/>
          <w:sz w:val="22"/>
        </w:rPr>
        <w:t xml:space="preserve">g) </w:t>
      </w:r>
      <w:r>
        <w:rPr>
          <w:rFonts w:ascii="Segoe UI" w:hAnsi="Segoe UI" w:eastAsia="Segoe UI"/>
          <w:b w:val="0"/>
          <w:i w:val="0"/>
          <w:sz w:val="22"/>
        </w:rPr>
        <w:t>a concessão da aposentadoria por tempo de contribuição pela regra de transição do artigo 20 da Emenda Constitucional nº 103, de 2019 (pedágio de 100%), com termo inicial em 15 de agosto de 2025, ou, sucessivamente, pela regra do artigo 17 da mesma Emenda (pedágio de 50%), prevalecendo, em qualquer hipótese, a regra mais vantajosa;</w:t>
      </w:r>
    </w:p>
    <w:p>
      <w:pPr>
        <w:spacing w:before="240" w:after="240" w:lineRule="auto" w:line="360"/>
        <w:ind w:left="794"/>
        <w:jc w:val="both"/>
      </w:pPr>
      <w:r>
        <w:rPr>
          <w:rFonts w:ascii="Segoe UI" w:hAnsi="Segoe UI" w:eastAsia="Segoe UI"/>
          <w:b w:val="0"/>
          <w:i w:val="0"/>
          <w:sz w:val="22"/>
        </w:rPr>
        <w:t xml:space="preserve">h) </w:t>
      </w:r>
      <w:r>
        <w:rPr>
          <w:rFonts w:ascii="Segoe UI" w:hAnsi="Segoe UI" w:eastAsia="Segoe UI"/>
          <w:b w:val="0"/>
          <w:i w:val="0"/>
          <w:sz w:val="22"/>
        </w:rPr>
        <w:t>o pagamento das parcelas vencidas desde 15 de agosto de 2025, com correção monetária e juros de mora, nos critérios aplicáveis às condenações da Fazenda Pública;</w:t>
      </w:r>
    </w:p>
    <w:p>
      <w:pPr>
        <w:spacing w:before="240" w:after="240" w:lineRule="auto" w:line="360"/>
        <w:ind w:left="794"/>
        <w:jc w:val="both"/>
      </w:pPr>
      <w:r>
        <w:rPr>
          <w:rFonts w:ascii="Segoe UI" w:hAnsi="Segoe UI" w:eastAsia="Segoe UI"/>
          <w:b w:val="0"/>
          <w:i w:val="0"/>
          <w:sz w:val="22"/>
        </w:rPr>
        <w:t xml:space="preserve">i) </w:t>
      </w:r>
      <w:r>
        <w:rPr>
          <w:rFonts w:ascii="Segoe UI" w:hAnsi="Segoe UI" w:eastAsia="Segoe UI"/>
          <w:b w:val="0"/>
          <w:i w:val="0"/>
          <w:sz w:val="22"/>
        </w:rPr>
        <w:t>a condenação em honorários advocatícios, em caso de recurso, nos termos aplicáveis ao Juizado Especial Federal.</w:t>
      </w:r>
    </w:p>
    <w:p>
      <w:pPr>
        <w:keepNext/>
        <w:spacing w:before="240" w:after="240" w:lineRule="auto" w:line="360"/>
        <w:jc w:val="both"/>
      </w:pPr>
      <w:r>
        <w:rPr>
          <w:rFonts w:ascii="Segoe UI" w:hAnsi="Segoe UI" w:eastAsia="Segoe UI"/>
          <w:b/>
          <w:i w:val="0"/>
          <w:sz w:val="22"/>
        </w:rPr>
        <w:t>VII. DO VALOR DA CAUSA</w:t>
      </w:r>
    </w:p>
    <w:p>
      <w:pPr>
        <w:spacing w:before="240" w:after="240" w:lineRule="auto" w:line="360"/>
        <w:jc w:val="both"/>
      </w:pPr>
      <w:r>
        <w:rPr>
          <w:rFonts w:ascii="Segoe UI" w:hAnsi="Segoe UI" w:eastAsia="Segoe UI"/>
          <w:b w:val="0"/>
          <w:i w:val="0"/>
          <w:sz w:val="22"/>
        </w:rPr>
        <w:t>O valor da causa corresponde à soma das parcelas vencidas entre agosto de 2025 e o ajuizamento, acrescidas de 12 (doze) parcelas vincendas, a ser oportunamente apurado após o cálculo da renda mensal inicial, que depende do CNIS analítico ainda não disponível nos autos. Observar-se-á o limite de 60 (sessenta) salários mínimos de alçada do Juizado Especial Federal.</w:t>
      </w:r>
    </w:p>
    <w:p>
      <w:pPr>
        <w:keepNext/>
        <w:spacing w:before="240" w:after="240" w:lineRule="auto" w:line="360"/>
        <w:jc w:val="both"/>
      </w:pPr>
      <w:r>
        <w:rPr>
          <w:rFonts w:ascii="Segoe UI" w:hAnsi="Segoe UI" w:eastAsia="Segoe UI"/>
          <w:b/>
          <w:i w:val="0"/>
          <w:sz w:val="22"/>
        </w:rPr>
        <w:t>VIII. DAS PROVAS</w:t>
      </w:r>
    </w:p>
    <w:p>
      <w:pPr>
        <w:spacing w:before="240" w:after="240" w:lineRule="auto" w:line="360"/>
        <w:jc w:val="both"/>
      </w:pPr>
      <w:r>
        <w:rPr>
          <w:rFonts w:ascii="Segoe UI" w:hAnsi="Segoe UI" w:eastAsia="Segoe UI"/>
          <w:b w:val="0"/>
          <w:i w:val="0"/>
          <w:sz w:val="22"/>
        </w:rPr>
        <w:t>Requer-se a produção de prova documental, consistente no CNIS sintético e analítico, na CTPS integral, nas guias de recolhimento do período de março de 2006 a julho de 2010, na comunicação de decisão administrativa, na cópia do processo administrativo e no extrato do FGTS, além de prova testemunhal, se necessária, quanto ao vínculo com a Confecções Delta ME, de julho a dezembro de 2005.</w:t>
      </w:r>
    </w:p>
    <w:p>
      <w:pPr>
        <w:keepNext/>
        <w:spacing w:before="240" w:after="240" w:lineRule="auto" w:line="360"/>
        <w:jc w:val="both"/>
      </w:pPr>
      <w:r>
        <w:rPr>
          <w:rFonts w:ascii="Segoe UI" w:hAnsi="Segoe UI" w:eastAsia="Segoe UI"/>
          <w:b w:val="0"/>
          <w:i w:val="0"/>
          <w:sz w:val="22"/>
        </w:rPr>
        <w:t>Termos em que, pede deferimento.</w:t>
      </w:r>
    </w:p>
    <w:p>
      <w:pPr>
        <w:keepNext/>
        <w:spacing w:before="240" w:after="240" w:lineRule="auto" w:line="360"/>
        <w:jc w:val="both"/>
      </w:pPr>
      <w:r>
        <w:rPr>
          <w:rFonts w:ascii="Segoe UI" w:hAnsi="Segoe UI" w:eastAsia="Segoe UI"/>
          <w:b w:val="0"/>
          <w:i w:val="0"/>
          <w:sz w:val="22"/>
        </w:rPr>
        <w:t>Recife/PE, 15 de outubro de 2026.</w:t>
      </w:r>
    </w:p>
    <w:p>
      <w:pPr>
        <w:keepNext/>
        <w:spacing w:before="360" w:after="60" w:lineRule="auto" w:line="360"/>
        <w:jc w:val="center"/>
      </w:pPr>
      <w:r>
        <w:rPr>
          <w:rFonts w:ascii="Segoe UI" w:hAnsi="Segoe UI" w:eastAsia="Segoe UI"/>
          <w:b w:val="0"/>
          <w:i w:val="0"/>
          <w:sz w:val="22"/>
        </w:rPr>
        <w:t xml:space="preserve">ANNA </w:t>
      </w:r>
      <w:r>
        <w:rPr>
          <w:rFonts w:ascii="Segoe UI" w:hAnsi="Segoe UI" w:eastAsia="Segoe UI"/>
          <w:b/>
          <w:i w:val="0"/>
          <w:sz w:val="22"/>
        </w:rPr>
        <w:t>TALLYTA BIONE</w:t>
      </w:r>
      <w:r>
        <w:rPr>
          <w:rFonts w:ascii="Segoe UI" w:hAnsi="Segoe UI" w:eastAsia="Segoe UI"/>
          <w:b w:val="0"/>
          <w:i w:val="0"/>
          <w:sz w:val="22"/>
        </w:rPr>
        <w:t xml:space="preserve"> DE SÁ CARVALHO</w:t>
      </w:r>
    </w:p>
    <w:p>
      <w:pPr>
        <w:spacing w:before="0" w:after="180" w:lineRule="auto" w:line="360"/>
        <w:jc w:val="center"/>
      </w:pPr>
      <w:r>
        <w:rPr>
          <w:rFonts w:ascii="Segoe UI" w:hAnsi="Segoe UI" w:eastAsia="Segoe UI"/>
          <w:b w:val="0"/>
          <w:i w:val="0"/>
          <w:sz w:val="22"/>
        </w:rPr>
        <w:t>OAB/PE 27.251</w:t>
      </w:r>
    </w:p>
    <w:sectPr w:rsidR="006738C2">
      <w:headerReference w:type="even" r:id="rId7"/>
      <w:headerReference w:type="default" r:id="rId8"/>
      <w:footerReference w:type="even" r:id="rId9"/>
      <w:footerReference w:type="default" r:id="rId10"/>
      <w:headerReference w:type="first" r:id="rId11"/>
      <w:footerReference w:type="first" r:id="rId12"/>
      <w:pgSz w:w="11906" w:h="16838"/>
      <w:pgMar w:top="2268" w:right="1134"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3786C" w14:textId="77777777" w:rsidR="006A1897" w:rsidRDefault="006A1897">
      <w:pPr>
        <w:spacing w:after="0" w:line="240" w:lineRule="auto"/>
      </w:pPr>
      <w:r>
        <w:separator/>
      </w:r>
    </w:p>
  </w:endnote>
  <w:endnote w:type="continuationSeparator" w:id="0">
    <w:p w14:paraId="28F3CF77" w14:textId="77777777" w:rsidR="006A1897" w:rsidRDefault="006A1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A469F" w14:textId="77777777" w:rsidR="006738C2" w:rsidRDefault="006738C2">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66F22" w14:textId="77777777" w:rsidR="006738C2" w:rsidRDefault="006738C2">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706C1" w14:textId="77777777" w:rsidR="006738C2" w:rsidRDefault="006738C2">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45313" w14:textId="77777777" w:rsidR="006A1897" w:rsidRDefault="006A1897">
      <w:pPr>
        <w:spacing w:after="0" w:line="240" w:lineRule="auto"/>
      </w:pPr>
      <w:r>
        <w:separator/>
      </w:r>
    </w:p>
  </w:footnote>
  <w:footnote w:type="continuationSeparator" w:id="0">
    <w:p w14:paraId="33785696" w14:textId="77777777" w:rsidR="006A1897" w:rsidRDefault="006A1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3BD3C" w14:textId="77777777" w:rsidR="006738C2" w:rsidRDefault="006738C2">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15C50" w14:textId="77777777" w:rsidR="006738C2" w:rsidRDefault="00E65C7D">
    <w:pPr>
      <w:pBdr>
        <w:top w:val="nil"/>
        <w:left w:val="nil"/>
        <w:bottom w:val="nil"/>
        <w:right w:val="nil"/>
        <w:between w:val="nil"/>
      </w:pBdr>
      <w:tabs>
        <w:tab w:val="center" w:pos="4252"/>
        <w:tab w:val="right" w:pos="8504"/>
        <w:tab w:val="left" w:pos="3780"/>
      </w:tabs>
      <w:spacing w:after="0" w:line="240" w:lineRule="auto"/>
      <w:rPr>
        <w:color w:val="000000"/>
      </w:rPr>
    </w:pPr>
    <w:r>
      <w:rPr>
        <w:color w:val="000000"/>
      </w:rPr>
      <w:tab/>
    </w:r>
    <w:r>
      <w:rPr>
        <w:noProof/>
      </w:rPr>
      <w:drawing>
        <wp:anchor distT="0" distB="0" distL="0" distR="0" simplePos="0" relativeHeight="251658240" behindDoc="1" locked="0" layoutInCell="1" hidden="0" allowOverlap="1" wp14:anchorId="40F00BB9" wp14:editId="53FE8190">
          <wp:simplePos x="0" y="0"/>
          <wp:positionH relativeFrom="column">
            <wp:posOffset>-1080134</wp:posOffset>
          </wp:positionH>
          <wp:positionV relativeFrom="paragraph">
            <wp:posOffset>-458205</wp:posOffset>
          </wp:positionV>
          <wp:extent cx="7556739" cy="10689089"/>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556739" cy="10689089"/>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3DC0B" w14:textId="77777777" w:rsidR="006738C2" w:rsidRDefault="006738C2">
    <w:pPr>
      <w:pBdr>
        <w:top w:val="nil"/>
        <w:left w:val="nil"/>
        <w:bottom w:val="nil"/>
        <w:right w:val="nil"/>
        <w:between w:val="nil"/>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8C2"/>
    <w:rsid w:val="002C2804"/>
    <w:rsid w:val="005544EB"/>
    <w:rsid w:val="006738C2"/>
    <w:rsid w:val="006A1897"/>
    <w:rsid w:val="00A14776"/>
    <w:rsid w:val="00E65C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145A"/>
  <w15:docId w15:val="{5D7AEB5D-686B-4701-B778-6142785C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unhideWhenUsed/>
    <w:rsid w:val="00390C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0CC6"/>
  </w:style>
  <w:style w:type="paragraph" w:styleId="Rodap">
    <w:name w:val="footer"/>
    <w:basedOn w:val="Normal"/>
    <w:link w:val="RodapChar"/>
    <w:uiPriority w:val="99"/>
    <w:unhideWhenUsed/>
    <w:rsid w:val="00390CC6"/>
    <w:pPr>
      <w:tabs>
        <w:tab w:val="center" w:pos="4252"/>
        <w:tab w:val="right" w:pos="8504"/>
      </w:tabs>
      <w:spacing w:after="0" w:line="240" w:lineRule="auto"/>
    </w:pPr>
  </w:style>
  <w:style w:type="character" w:customStyle="1" w:styleId="RodapChar">
    <w:name w:val="Rodapé Char"/>
    <w:basedOn w:val="Fontepargpadro"/>
    <w:link w:val="Rodap"/>
    <w:uiPriority w:val="99"/>
    <w:rsid w:val="00390CC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rpodetexto">
    <w:name w:val="Body Text"/>
    <w:basedOn w:val="Normal"/>
    <w:link w:val="CorpodetextoChar"/>
    <w:uiPriority w:val="1"/>
    <w:qFormat/>
    <w:rsid w:val="00A14776"/>
    <w:pPr>
      <w:widowControl w:val="0"/>
      <w:autoSpaceDE w:val="0"/>
      <w:autoSpaceDN w:val="0"/>
      <w:spacing w:after="0" w:line="240" w:lineRule="auto"/>
    </w:pPr>
    <w:rPr>
      <w:rFonts w:ascii="Times New Roman" w:eastAsia="Times New Roman" w:hAnsi="Times New Roman" w:cs="Times New Roman"/>
      <w:sz w:val="20"/>
      <w:szCs w:val="20"/>
      <w:lang w:val="pt-PT" w:eastAsia="en-US"/>
    </w:rPr>
  </w:style>
  <w:style w:type="character" w:customStyle="1" w:styleId="CorpodetextoChar">
    <w:name w:val="Corpo de texto Char"/>
    <w:basedOn w:val="Fontepargpadro"/>
    <w:link w:val="Corpodetexto"/>
    <w:uiPriority w:val="1"/>
    <w:rsid w:val="00A14776"/>
    <w:rPr>
      <w:rFonts w:ascii="Times New Roman" w:eastAsia="Times New Roman" w:hAnsi="Times New Roman" w:cs="Times New Roman"/>
      <w:sz w:val="20"/>
      <w:szCs w:val="20"/>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z1rXTywvm6qHIodwtNoandXGcw==">AMUW2mVt2nySpMJ6La1a/Uh/OUcEYwH8m1YMT/U9tT+Q3KuEvdnyqrdZalWYLonmIGIziVGOn17+4LRKAj5bqAvO0n/1x4lOMF13xdj9phr5DjG/Tpn1k+I=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0</Words>
  <Characters>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Tallyta Bione</cp:lastModifiedBy>
  <cp:revision>3</cp:revision>
  <dcterms:created xsi:type="dcterms:W3CDTF">2021-05-07T21:52:00Z</dcterms:created>
  <dcterms:modified xsi:type="dcterms:W3CDTF">2026-10-08T16:30:00Z</dcterms:modified>
</cp:coreProperties>
</file>