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Instrucciones para la ejecución de los Scripts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DESCARGAR FUENTE DE DATOS</w:t>
      </w:r>
    </w:p>
    <w:p w:rsidR="00000000" w:rsidDel="00000000" w:rsidP="00000000" w:rsidRDefault="00000000" w:rsidRPr="00000000" w14:paraId="00000005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Accedemos a la web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u w:val="single"/>
            <w:rtl w:val="0"/>
          </w:rPr>
          <w:t xml:space="preserve">https://dblp.uni-trier.de/xml/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 descargamos el fichero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dblp.xml.gz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en formato xml.</w:t>
      </w:r>
    </w:p>
    <w:p w:rsidR="00000000" w:rsidDel="00000000" w:rsidP="00000000" w:rsidRDefault="00000000" w:rsidRPr="00000000" w14:paraId="00000007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Ubicamos el fichero en una ruta accesible para los scripts que se ejecutarán a continuación.</w:t>
      </w:r>
    </w:p>
    <w:p w:rsidR="00000000" w:rsidDel="00000000" w:rsidP="00000000" w:rsidRDefault="00000000" w:rsidRPr="00000000" w14:paraId="0000000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CAMBIAR CODIFICACIÓN DEL FICHERO ORIGEN:</w:t>
      </w:r>
    </w:p>
    <w:p w:rsidR="00000000" w:rsidDel="00000000" w:rsidP="00000000" w:rsidRDefault="00000000" w:rsidRPr="00000000" w14:paraId="0000000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Teniendo en cuenta los problemas de codificación del fichero, ejecutamos un proceso de cambio de codificación, ejecutando el script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convert.py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la ejecución de este fichero pasaremos como entrada el fichero original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dblp.xml.gz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 generamos un nuevo fichero en formato utf-8 llamado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dblp_utf8.xml.gz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</w:t>
      </w:r>
    </w:p>
    <w:p w:rsidR="00000000" w:rsidDel="00000000" w:rsidP="00000000" w:rsidRDefault="00000000" w:rsidRPr="00000000" w14:paraId="0000000E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Descomprimimos el nuevo fichero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dblp_utf8.xml.gz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, para obtener el fichero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dblp_utf8.xml,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con codificación utf-8 sobre el que ejecutaremos los scripts de tratamiento y carga de datos a las diferentes bases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TRATAMIENTO Y CARGA DE DATOS EN MONGODB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este paso levantamos el servidor MongoDB y a continuación ejecutamos el script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XML_to_MongoDB.py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que leerá el fichero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dblp_utf8.xml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ejecuta todo el proceso de parseo y conversión del fichero a estructura JSON que se ajuste al diseño descrito en la memoria para la base de datos MongoDB. 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Este script crea la conexión con la base de datos, crea la nueva colección e inserta directamente los documentos en la colección a medida que se leen, parsean y transforman.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ejecución de este proceso toma aproximadamente 30 minutos (depende de las características de la máquina) y como resultado crea automáticamente en MongoDB una nueva base de datos con una única colección de autores, que dentro contiene todos los documentos leídos del xml.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Abrimos Robo3T, damos doble click sobre la colección y a partir de este paso puede lanzarse la ejecución de las consultas planteadas en la práctica sobre la colección de documentos.</w:t>
      </w:r>
    </w:p>
    <w:p w:rsidR="00000000" w:rsidDel="00000000" w:rsidP="00000000" w:rsidRDefault="00000000" w:rsidRPr="00000000" w14:paraId="00000018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TRATAMIENTO Y CARGA DE DATOS EN NEO4J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Para ejecutar esta sección de la práctica, utilizamos el script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XML_to_Neo4jDesign.py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que lee del fichero </w:t>
      </w: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dblp_utf8.xml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y teniendo en cuenta el diseño descrito en la memoria para esta base de datos parsea el xml, transforma los campos y calcula nuevos campos (p.e. los ids. Como resultado de esta ejecución, generamos tres ficheros csv así: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authors.csv: Nodos autores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titles.csv: Nodos Obras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jc w:val="both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relations.csv: Relaciones entre autores y obras</w:t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Una vez finalizada la ejecución de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XML_to_Neo4jDesign.py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generados los ficheros csv, realizamos la carga de datos a la base de datos Neo4j así: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copian los ficheros csv en la carpeta bin del home de Neo4j.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 ejecuta el siguiente comando para realizar el import: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LINUX:</w:t>
      </w:r>
    </w:p>
    <w:p w:rsidR="00000000" w:rsidDel="00000000" w:rsidP="00000000" w:rsidRDefault="00000000" w:rsidRPr="00000000" w14:paraId="00000027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~HOME/neo4j-community-3.3.4/bin$ ./neo4j-admin import --nodes "authors.csv" --nodes "titles.csv" --relationships "relations.csv" --ignore-missing-nodes --ignore-duplicate-nodes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WINDOWS: Por CMD desde la ruta C:\neo4j-community-3.5.3\bin ejecutamos el siguiente comando:</w:t>
      </w:r>
    </w:p>
    <w:p w:rsidR="00000000" w:rsidDel="00000000" w:rsidP="00000000" w:rsidRDefault="00000000" w:rsidRPr="00000000" w14:paraId="00000029">
      <w:pPr>
        <w:ind w:left="144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neo4j-admin import --mode csv --database=prueba1.db --nodes authors.csv --nodes titles.csv --relationships relations.csv --ignore-missing-nodes --ignore-duplicate-nodes</w:t>
      </w:r>
    </w:p>
    <w:p w:rsidR="00000000" w:rsidDel="00000000" w:rsidP="00000000" w:rsidRDefault="00000000" w:rsidRPr="00000000" w14:paraId="0000002A">
      <w:pPr>
        <w:ind w:left="72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La ejecución carga los ficheros en un tiempo aproximado de 10 minutos. Una vez completada la ejecución lanzamos el servicor de Neo4j y abrimos el navegador.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 localhost:7474 tendremos ya cargada la base de datos según las relaciones y el diseño descrito en la memoria de la práctica y es posible realizar las consultas planteadas.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blp.uni-trier.de/xml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