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57A8C6C" w14:textId="77777777" w:rsidR="00DA60C5" w:rsidRDefault="00DA60C5">
      <w:pPr>
        <w:pStyle w:val="Body"/>
        <w:rPr>
          <w:b/>
          <w:bCs/>
          <w:u w:val="single"/>
        </w:rPr>
      </w:pPr>
    </w:p>
    <w:p w14:paraId="1A4D0C34" w14:textId="77777777" w:rsidR="00DA60C5" w:rsidRDefault="00DA60C5">
      <w:pPr>
        <w:pStyle w:val="Body"/>
        <w:rPr>
          <w:b/>
          <w:bCs/>
          <w:u w:val="single"/>
        </w:rPr>
      </w:pPr>
    </w:p>
    <w:p w14:paraId="7AC8C0BA" w14:textId="4E6C0058" w:rsidR="00DA60C5" w:rsidRDefault="00DA60C5">
      <w:pPr>
        <w:pStyle w:val="Body"/>
        <w:rPr>
          <w:b/>
          <w:bCs/>
          <w:u w:val="single"/>
        </w:rPr>
      </w:pPr>
    </w:p>
    <w:p w14:paraId="29412DB0" w14:textId="1B05372A" w:rsidR="00DA60C5" w:rsidRPr="00DA60C5" w:rsidRDefault="00DA60C5" w:rsidP="00DA60C5">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u w:val="single"/>
          <w:bdr w:val="none" w:sz="0" w:space="0" w:color="auto"/>
          <w:lang w:val="en-NZ" w:eastAsia="en-GB"/>
        </w:rPr>
      </w:pPr>
      <w:r w:rsidRPr="00DA60C5">
        <w:rPr>
          <w:rFonts w:ascii="Arial" w:eastAsia="Times New Roman" w:hAnsi="Arial" w:cs="Arial"/>
          <w:u w:val="single"/>
          <w:bdr w:val="none" w:sz="0" w:space="0" w:color="auto"/>
          <w:lang w:val="en-NZ" w:eastAsia="en-GB"/>
        </w:rPr>
        <w:t>Word Count</w:t>
      </w:r>
      <w:r w:rsidR="00252E98" w:rsidRPr="00252E98">
        <w:rPr>
          <w:rFonts w:ascii="Arial" w:eastAsia="Times New Roman" w:hAnsi="Arial" w:cs="Arial"/>
          <w:u w:val="single"/>
          <w:bdr w:val="none" w:sz="0" w:space="0" w:color="auto"/>
          <w:lang w:val="en-NZ" w:eastAsia="en-GB"/>
        </w:rPr>
        <w:t>:</w:t>
      </w:r>
      <w:r w:rsidRPr="00DA60C5">
        <w:rPr>
          <w:rFonts w:ascii="Arial" w:eastAsia="Times New Roman" w:hAnsi="Arial" w:cs="Arial"/>
          <w:u w:val="single"/>
          <w:bdr w:val="none" w:sz="0" w:space="0" w:color="auto"/>
          <w:lang w:val="en-NZ" w:eastAsia="en-GB"/>
        </w:rPr>
        <w:t xml:space="preserve"> </w:t>
      </w:r>
      <w:r w:rsidRPr="00252E98">
        <w:rPr>
          <w:rFonts w:ascii="Arial" w:eastAsia="Times New Roman" w:hAnsi="Arial" w:cs="Arial"/>
          <w:u w:val="single"/>
          <w:bdr w:val="none" w:sz="0" w:space="0" w:color="auto"/>
          <w:lang w:val="en-NZ" w:eastAsia="en-GB"/>
        </w:rPr>
        <w:t>7</w:t>
      </w:r>
      <w:r w:rsidR="00252E98" w:rsidRPr="00252E98">
        <w:rPr>
          <w:rFonts w:ascii="Arial" w:eastAsia="Times New Roman" w:hAnsi="Arial" w:cs="Arial"/>
          <w:u w:val="single"/>
          <w:bdr w:val="none" w:sz="0" w:space="0" w:color="auto"/>
          <w:lang w:val="en-NZ" w:eastAsia="en-GB"/>
        </w:rPr>
        <w:t>81 (excluding referencing and headers)</w:t>
      </w:r>
    </w:p>
    <w:p w14:paraId="2055FF52" w14:textId="1E30ADFB" w:rsidR="00DA60C5" w:rsidRPr="00252E98" w:rsidRDefault="00DA60C5">
      <w:pPr>
        <w:pStyle w:val="Body"/>
        <w:rPr>
          <w:rFonts w:ascii="Arial" w:hAnsi="Arial" w:cs="Arial"/>
          <w:b/>
          <w:bCs/>
          <w:sz w:val="24"/>
          <w:szCs w:val="24"/>
          <w:u w:val="single"/>
        </w:rPr>
      </w:pPr>
    </w:p>
    <w:p w14:paraId="7682BDF9" w14:textId="77777777" w:rsidR="00252E98" w:rsidRPr="00252E98" w:rsidRDefault="00252E98" w:rsidP="00252E9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bdr w:val="none" w:sz="0" w:space="0" w:color="auto"/>
          <w:lang w:val="en-NZ" w:eastAsia="en-GB"/>
        </w:rPr>
      </w:pPr>
      <w:r w:rsidRPr="00252E98">
        <w:rPr>
          <w:rFonts w:ascii="Arial" w:eastAsia="Times New Roman" w:hAnsi="Arial" w:cs="Arial"/>
          <w:bdr w:val="none" w:sz="0" w:space="0" w:color="auto"/>
          <w:lang w:val="en-NZ" w:eastAsia="en-GB"/>
        </w:rPr>
        <w:t>Declaration of Originality Plagiarism is a form of cheating which undermines academic integrity. Plagiarism is prohibited at Victoria. Plagiarism is presenting (without due acknowledgement) someone else’s work as if it were your own, whether you meant to or not. Plagiarism takes many forms and includes material from books, journals or any oth</w:t>
      </w:r>
      <w:bookmarkStart w:id="0" w:name="_GoBack"/>
      <w:bookmarkEnd w:id="0"/>
      <w:r w:rsidRPr="00252E98">
        <w:rPr>
          <w:rFonts w:ascii="Arial" w:eastAsia="Times New Roman" w:hAnsi="Arial" w:cs="Arial"/>
          <w:bdr w:val="none" w:sz="0" w:space="0" w:color="auto"/>
          <w:lang w:val="en-NZ" w:eastAsia="en-GB"/>
        </w:rPr>
        <w:t>er printed source, the work of other students or staff, information from the internet and other electronic material. You are expected to adhere to the VUW Statute on Student conduct and its references to plagiarism. http://www.victoria.ac.nz/home/study/plagiarism.aspx</w:t>
      </w:r>
    </w:p>
    <w:p w14:paraId="4C8F2AB5" w14:textId="1208E09C" w:rsidR="00DA60C5" w:rsidRPr="00252E98" w:rsidRDefault="00DA60C5">
      <w:pPr>
        <w:pStyle w:val="Body"/>
        <w:rPr>
          <w:rFonts w:ascii="Arial" w:hAnsi="Arial" w:cs="Arial"/>
          <w:b/>
          <w:bCs/>
          <w:sz w:val="24"/>
          <w:szCs w:val="24"/>
          <w:u w:val="single"/>
        </w:rPr>
      </w:pPr>
    </w:p>
    <w:p w14:paraId="180504C9" w14:textId="77777777" w:rsidR="00252E98" w:rsidRPr="00252E98" w:rsidRDefault="00252E98" w:rsidP="00252E9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bdr w:val="none" w:sz="0" w:space="0" w:color="auto"/>
          <w:lang w:val="en-NZ" w:eastAsia="en-GB"/>
        </w:rPr>
      </w:pPr>
      <w:r w:rsidRPr="00252E98">
        <w:rPr>
          <w:rFonts w:ascii="Arial" w:eastAsia="Times New Roman" w:hAnsi="Arial" w:cs="Arial"/>
          <w:bdr w:val="none" w:sz="0" w:space="0" w:color="auto"/>
          <w:lang w:val="en-NZ" w:eastAsia="en-GB"/>
        </w:rPr>
        <w:t xml:space="preserve">I have read and understood the University policy on Academic Integrity and Plagiarism. </w:t>
      </w:r>
    </w:p>
    <w:p w14:paraId="5FD85227" w14:textId="77777777" w:rsidR="00252E98" w:rsidRPr="00252E98" w:rsidRDefault="00252E98" w:rsidP="00252E9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bdr w:val="none" w:sz="0" w:space="0" w:color="auto"/>
          <w:lang w:val="en-NZ" w:eastAsia="en-GB"/>
        </w:rPr>
      </w:pPr>
      <w:r w:rsidRPr="00252E98">
        <w:rPr>
          <w:rFonts w:ascii="Arial" w:eastAsia="Times New Roman" w:hAnsi="Arial" w:cs="Arial"/>
          <w:bdr w:val="none" w:sz="0" w:space="0" w:color="auto"/>
          <w:lang w:val="en-NZ" w:eastAsia="en-GB"/>
        </w:rPr>
        <w:t xml:space="preserve">I declare this assignment is my own work and that all source material used in the assignment is accurately acknowledged. </w:t>
      </w:r>
    </w:p>
    <w:p w14:paraId="6CCF8C03" w14:textId="13954081" w:rsidR="00252E98" w:rsidRPr="00252E98" w:rsidRDefault="00252E98" w:rsidP="00252E9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bdr w:val="none" w:sz="0" w:space="0" w:color="auto"/>
          <w:lang w:val="en-NZ" w:eastAsia="en-GB"/>
        </w:rPr>
      </w:pPr>
      <w:r w:rsidRPr="00252E98">
        <w:rPr>
          <w:rFonts w:ascii="Arial" w:eastAsia="Times New Roman" w:hAnsi="Arial" w:cs="Arial"/>
          <w:bdr w:val="none" w:sz="0" w:space="0" w:color="auto"/>
          <w:lang w:val="en-NZ" w:eastAsia="en-GB"/>
        </w:rPr>
        <w:t>I have retained a copy of this assignment.</w:t>
      </w:r>
    </w:p>
    <w:p w14:paraId="799D7066" w14:textId="2CF73159" w:rsidR="00252E98" w:rsidRPr="00252E98" w:rsidRDefault="00252E98">
      <w:pPr>
        <w:pStyle w:val="Body"/>
        <w:rPr>
          <w:rFonts w:ascii="Arial" w:hAnsi="Arial" w:cs="Arial"/>
          <w:b/>
          <w:bCs/>
          <w:sz w:val="24"/>
          <w:szCs w:val="24"/>
          <w:u w:val="single"/>
        </w:rPr>
      </w:pPr>
    </w:p>
    <w:p w14:paraId="7C5269B8" w14:textId="77777777" w:rsidR="00252E98" w:rsidRPr="00252E98" w:rsidRDefault="00252E98">
      <w:pPr>
        <w:pStyle w:val="Body"/>
        <w:rPr>
          <w:rFonts w:ascii="Arial" w:hAnsi="Arial" w:cs="Arial"/>
          <w:sz w:val="24"/>
          <w:szCs w:val="24"/>
        </w:rPr>
      </w:pPr>
      <w:r w:rsidRPr="00252E98">
        <w:rPr>
          <w:rFonts w:ascii="Arial" w:hAnsi="Arial" w:cs="Arial"/>
          <w:sz w:val="24"/>
          <w:szCs w:val="24"/>
        </w:rPr>
        <w:t xml:space="preserve">Kamonchanok Suban Na Ayudtaya </w:t>
      </w:r>
    </w:p>
    <w:p w14:paraId="222CFE4C" w14:textId="457A350F" w:rsidR="00252E98" w:rsidRPr="00252E98" w:rsidRDefault="00252E98">
      <w:pPr>
        <w:pStyle w:val="Body"/>
        <w:rPr>
          <w:rFonts w:ascii="Arial" w:hAnsi="Arial" w:cs="Arial"/>
          <w:sz w:val="24"/>
          <w:szCs w:val="24"/>
        </w:rPr>
      </w:pPr>
      <w:r w:rsidRPr="00252E98">
        <w:rPr>
          <w:rFonts w:ascii="Arial" w:hAnsi="Arial" w:cs="Arial"/>
          <w:sz w:val="24"/>
          <w:szCs w:val="24"/>
        </w:rPr>
        <w:t>19 May 2020</w:t>
      </w:r>
    </w:p>
    <w:p w14:paraId="0DEED20A" w14:textId="1241B526" w:rsidR="00DA60C5" w:rsidRPr="00252E98" w:rsidRDefault="00DA60C5">
      <w:pPr>
        <w:pStyle w:val="Body"/>
        <w:rPr>
          <w:rFonts w:ascii="Arial" w:hAnsi="Arial" w:cs="Arial"/>
          <w:b/>
          <w:bCs/>
          <w:sz w:val="24"/>
          <w:szCs w:val="24"/>
          <w:u w:val="single"/>
        </w:rPr>
      </w:pPr>
    </w:p>
    <w:p w14:paraId="796417D5" w14:textId="56904325" w:rsidR="00DA60C5" w:rsidRPr="00252E98" w:rsidRDefault="00252E98">
      <w:pPr>
        <w:pStyle w:val="Body"/>
        <w:rPr>
          <w:rFonts w:ascii="Arial" w:hAnsi="Arial" w:cs="Arial"/>
          <w:b/>
          <w:bCs/>
          <w:sz w:val="24"/>
          <w:szCs w:val="24"/>
          <w:u w:val="single"/>
        </w:rPr>
      </w:pPr>
      <w:r w:rsidRPr="00252E98">
        <w:rPr>
          <w:rFonts w:ascii="Arial" w:hAnsi="Arial" w:cs="Arial"/>
          <w:b/>
          <w:bCs/>
          <w:noProof/>
          <w:sz w:val="24"/>
          <w:szCs w:val="24"/>
          <w:u w:val="single"/>
        </w:rPr>
        <w:drawing>
          <wp:inline distT="0" distB="0" distL="0" distR="0" wp14:anchorId="776CD8D3" wp14:editId="25C7168F">
            <wp:extent cx="907415"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ture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5870" cy="317717"/>
                    </a:xfrm>
                    <a:prstGeom prst="rect">
                      <a:avLst/>
                    </a:prstGeom>
                  </pic:spPr>
                </pic:pic>
              </a:graphicData>
            </a:graphic>
          </wp:inline>
        </w:drawing>
      </w:r>
    </w:p>
    <w:p w14:paraId="0396EBEA" w14:textId="4FE53431" w:rsidR="00DA60C5" w:rsidRPr="00252E98" w:rsidRDefault="00DA60C5">
      <w:pPr>
        <w:pStyle w:val="Body"/>
        <w:rPr>
          <w:rFonts w:ascii="Arial" w:hAnsi="Arial" w:cs="Arial"/>
          <w:b/>
          <w:bCs/>
          <w:sz w:val="24"/>
          <w:szCs w:val="24"/>
          <w:u w:val="single"/>
        </w:rPr>
      </w:pPr>
    </w:p>
    <w:p w14:paraId="6856B6D8" w14:textId="77777777" w:rsidR="00DA60C5" w:rsidRPr="00252E98" w:rsidRDefault="00DA60C5">
      <w:pPr>
        <w:pStyle w:val="Body"/>
        <w:rPr>
          <w:rFonts w:ascii="Arial" w:hAnsi="Arial" w:cs="Arial"/>
          <w:b/>
          <w:bCs/>
          <w:sz w:val="24"/>
          <w:szCs w:val="24"/>
          <w:u w:val="single"/>
        </w:rPr>
      </w:pPr>
    </w:p>
    <w:p w14:paraId="60A828AC" w14:textId="0296A579" w:rsidR="00395884" w:rsidRPr="00252E98" w:rsidRDefault="00A464ED">
      <w:pPr>
        <w:pStyle w:val="Body"/>
        <w:rPr>
          <w:rFonts w:ascii="Arial" w:hAnsi="Arial" w:cs="Arial"/>
          <w:b/>
          <w:bCs/>
          <w:sz w:val="24"/>
          <w:szCs w:val="24"/>
          <w:u w:val="single"/>
        </w:rPr>
      </w:pPr>
      <w:r w:rsidRPr="00252E98">
        <w:rPr>
          <w:rFonts w:ascii="Arial" w:hAnsi="Arial" w:cs="Arial"/>
          <w:b/>
          <w:bCs/>
          <w:sz w:val="24"/>
          <w:szCs w:val="24"/>
          <w:u w:val="single"/>
        </w:rPr>
        <w:t>Question 1</w:t>
      </w:r>
    </w:p>
    <w:p w14:paraId="2E2D3D61" w14:textId="77777777" w:rsidR="00395884" w:rsidRPr="00252E98" w:rsidRDefault="00395884">
      <w:pPr>
        <w:pStyle w:val="Body"/>
        <w:rPr>
          <w:rFonts w:ascii="Arial" w:hAnsi="Arial" w:cs="Arial"/>
          <w:sz w:val="24"/>
          <w:szCs w:val="24"/>
        </w:rPr>
      </w:pPr>
    </w:p>
    <w:p w14:paraId="1898857D" w14:textId="77777777" w:rsidR="00395884" w:rsidRPr="00252E98" w:rsidRDefault="00A464ED">
      <w:pPr>
        <w:pStyle w:val="Body"/>
        <w:rPr>
          <w:rFonts w:ascii="Arial" w:hAnsi="Arial" w:cs="Arial"/>
          <w:sz w:val="24"/>
          <w:szCs w:val="24"/>
        </w:rPr>
      </w:pPr>
      <w:proofErr w:type="spellStart"/>
      <w:r w:rsidRPr="00252E98">
        <w:rPr>
          <w:rFonts w:ascii="Arial" w:hAnsi="Arial" w:cs="Arial"/>
          <w:sz w:val="24"/>
          <w:szCs w:val="24"/>
          <w:lang w:val="nl-NL"/>
        </w:rPr>
        <w:t>Pharma</w:t>
      </w:r>
      <w:proofErr w:type="spellEnd"/>
      <w:r w:rsidRPr="00252E98">
        <w:rPr>
          <w:rFonts w:ascii="Arial" w:hAnsi="Arial" w:cs="Arial"/>
          <w:sz w:val="24"/>
          <w:szCs w:val="24"/>
          <w:lang w:val="nl-NL"/>
        </w:rPr>
        <w:t xml:space="preserve"> Farm </w:t>
      </w:r>
      <w:proofErr w:type="spellStart"/>
      <w:r w:rsidRPr="00252E98">
        <w:rPr>
          <w:rFonts w:ascii="Arial" w:hAnsi="Arial" w:cs="Arial"/>
          <w:sz w:val="24"/>
          <w:szCs w:val="24"/>
          <w:lang w:val="nl-NL"/>
        </w:rPr>
        <w:t>Corp</w:t>
      </w:r>
      <w:proofErr w:type="spellEnd"/>
      <w:r w:rsidRPr="00252E98">
        <w:rPr>
          <w:rFonts w:ascii="Arial" w:hAnsi="Arial" w:cs="Arial"/>
          <w:sz w:val="24"/>
          <w:szCs w:val="24"/>
          <w:lang w:val="nl-NL"/>
        </w:rPr>
        <w:t xml:space="preserve"> (PFC) </w:t>
      </w:r>
      <w:r w:rsidRPr="00252E98">
        <w:rPr>
          <w:rFonts w:ascii="Arial" w:hAnsi="Arial" w:cs="Arial"/>
          <w:sz w:val="24"/>
          <w:szCs w:val="24"/>
        </w:rPr>
        <w:t>would obtain a p</w:t>
      </w:r>
      <w:proofErr w:type="spellStart"/>
      <w:r w:rsidRPr="00252E98">
        <w:rPr>
          <w:rFonts w:ascii="Arial" w:hAnsi="Arial" w:cs="Arial"/>
          <w:sz w:val="24"/>
          <w:szCs w:val="24"/>
          <w:lang w:val="de-DE"/>
        </w:rPr>
        <w:t>aten</w:t>
      </w:r>
      <w:proofErr w:type="spellEnd"/>
      <w:r w:rsidRPr="00252E98">
        <w:rPr>
          <w:rFonts w:ascii="Arial" w:hAnsi="Arial" w:cs="Arial"/>
          <w:sz w:val="24"/>
          <w:szCs w:val="24"/>
        </w:rPr>
        <w:t xml:space="preserve">t for its novel, inventive and useful, veterinary medicinal product. This grant the PFC the exclusive right to use, sell, distribute, export and make its </w:t>
      </w:r>
      <w:r w:rsidRPr="00252E98">
        <w:rPr>
          <w:rFonts w:ascii="Arial" w:hAnsi="Arial" w:cs="Arial"/>
          <w:sz w:val="24"/>
          <w:szCs w:val="24"/>
          <w:lang w:val="pt-PT"/>
        </w:rPr>
        <w:t xml:space="preserve">medicinal </w:t>
      </w:r>
      <w:r w:rsidRPr="00252E98">
        <w:rPr>
          <w:rFonts w:ascii="Arial" w:hAnsi="Arial" w:cs="Arial"/>
          <w:sz w:val="24"/>
          <w:szCs w:val="24"/>
        </w:rPr>
        <w:t>product for 20 years</w:t>
      </w:r>
      <w:r w:rsidRPr="00252E98">
        <w:rPr>
          <w:rFonts w:ascii="Arial" w:hAnsi="Arial" w:cs="Arial"/>
          <w:sz w:val="24"/>
          <w:szCs w:val="24"/>
        </w:rPr>
        <w:t xml:space="preserve"> (non-renewable after expiration)</w:t>
      </w:r>
      <w:r w:rsidRPr="00252E98">
        <w:rPr>
          <w:rFonts w:ascii="Arial" w:eastAsia="Helvetica Neue" w:hAnsi="Arial" w:cs="Arial"/>
          <w:sz w:val="24"/>
          <w:szCs w:val="24"/>
          <w:vertAlign w:val="superscript"/>
        </w:rPr>
        <w:footnoteReference w:id="2"/>
      </w:r>
      <w:r w:rsidRPr="00252E98">
        <w:rPr>
          <w:rFonts w:ascii="Arial" w:hAnsi="Arial" w:cs="Arial"/>
          <w:sz w:val="24"/>
          <w:szCs w:val="24"/>
        </w:rPr>
        <w:t>.</w:t>
      </w:r>
    </w:p>
    <w:p w14:paraId="2E45B852" w14:textId="77777777" w:rsidR="00395884" w:rsidRPr="00252E98" w:rsidRDefault="00A464ED">
      <w:pPr>
        <w:pStyle w:val="Body"/>
        <w:rPr>
          <w:rFonts w:ascii="Arial" w:hAnsi="Arial" w:cs="Arial"/>
          <w:sz w:val="24"/>
          <w:szCs w:val="24"/>
        </w:rPr>
      </w:pPr>
      <w:r w:rsidRPr="00252E98">
        <w:rPr>
          <w:rFonts w:ascii="Arial" w:hAnsi="Arial" w:cs="Arial"/>
          <w:sz w:val="24"/>
          <w:szCs w:val="24"/>
        </w:rPr>
        <w:t xml:space="preserve">Additionally, </w:t>
      </w:r>
      <w:r w:rsidRPr="00252E98">
        <w:rPr>
          <w:rFonts w:ascii="Arial" w:hAnsi="Arial" w:cs="Arial"/>
          <w:sz w:val="24"/>
          <w:szCs w:val="24"/>
          <w:lang w:val="nl-NL"/>
        </w:rPr>
        <w:t xml:space="preserve">PFC </w:t>
      </w:r>
      <w:r w:rsidRPr="00252E98">
        <w:rPr>
          <w:rFonts w:ascii="Arial" w:hAnsi="Arial" w:cs="Arial"/>
          <w:sz w:val="24"/>
          <w:szCs w:val="24"/>
        </w:rPr>
        <w:t>would obtain a trademark for the graphical and distinguishable terms “Flatten Flatulence” and “</w:t>
      </w:r>
      <w:proofErr w:type="spellStart"/>
      <w:r w:rsidRPr="00252E98">
        <w:rPr>
          <w:rFonts w:ascii="Arial" w:hAnsi="Arial" w:cs="Arial"/>
          <w:sz w:val="24"/>
          <w:szCs w:val="24"/>
        </w:rPr>
        <w:t>FlatFlat</w:t>
      </w:r>
      <w:proofErr w:type="spellEnd"/>
      <w:r w:rsidRPr="00252E98">
        <w:rPr>
          <w:rFonts w:ascii="Arial" w:hAnsi="Arial" w:cs="Arial"/>
          <w:sz w:val="24"/>
          <w:szCs w:val="24"/>
        </w:rPr>
        <w:t xml:space="preserve">”. This will grant PFC the exclusive rights to market their product using these terms for 10 years </w:t>
      </w:r>
      <w:r w:rsidRPr="00252E98">
        <w:rPr>
          <w:rFonts w:ascii="Arial" w:hAnsi="Arial" w:cs="Arial"/>
          <w:sz w:val="24"/>
          <w:szCs w:val="24"/>
        </w:rPr>
        <w:t>(renewable after expiration)</w:t>
      </w:r>
      <w:r w:rsidRPr="00252E98">
        <w:rPr>
          <w:rFonts w:ascii="Arial" w:eastAsia="Helvetica Neue" w:hAnsi="Arial" w:cs="Arial"/>
          <w:sz w:val="24"/>
          <w:szCs w:val="24"/>
          <w:vertAlign w:val="superscript"/>
        </w:rPr>
        <w:footnoteReference w:id="3"/>
      </w:r>
      <w:r w:rsidRPr="00252E98">
        <w:rPr>
          <w:rFonts w:ascii="Arial" w:hAnsi="Arial" w:cs="Arial"/>
          <w:sz w:val="24"/>
          <w:szCs w:val="24"/>
        </w:rPr>
        <w:t>.</w:t>
      </w:r>
    </w:p>
    <w:p w14:paraId="43BCE633" w14:textId="77777777" w:rsidR="00395884" w:rsidRPr="00252E98" w:rsidRDefault="00395884">
      <w:pPr>
        <w:pStyle w:val="Body"/>
        <w:rPr>
          <w:rFonts w:ascii="Arial" w:hAnsi="Arial" w:cs="Arial"/>
          <w:b/>
          <w:bCs/>
          <w:sz w:val="24"/>
          <w:szCs w:val="24"/>
          <w:u w:val="single"/>
        </w:rPr>
      </w:pPr>
    </w:p>
    <w:p w14:paraId="40D80626" w14:textId="77777777" w:rsidR="00395884" w:rsidRPr="00252E98" w:rsidRDefault="00A464ED">
      <w:pPr>
        <w:pStyle w:val="Body"/>
        <w:rPr>
          <w:rFonts w:ascii="Arial" w:hAnsi="Arial" w:cs="Arial"/>
          <w:b/>
          <w:bCs/>
          <w:sz w:val="24"/>
          <w:szCs w:val="24"/>
          <w:u w:val="single"/>
        </w:rPr>
      </w:pPr>
      <w:r w:rsidRPr="00252E98">
        <w:rPr>
          <w:rFonts w:ascii="Arial" w:hAnsi="Arial" w:cs="Arial"/>
          <w:b/>
          <w:bCs/>
          <w:sz w:val="24"/>
          <w:szCs w:val="24"/>
          <w:u w:val="single"/>
        </w:rPr>
        <w:t>Question 2</w:t>
      </w:r>
    </w:p>
    <w:p w14:paraId="3A70AE8E" w14:textId="77777777" w:rsidR="00395884" w:rsidRPr="00252E98" w:rsidRDefault="00395884">
      <w:pPr>
        <w:pStyle w:val="Body"/>
        <w:rPr>
          <w:rFonts w:ascii="Arial" w:hAnsi="Arial" w:cs="Arial"/>
          <w:sz w:val="24"/>
          <w:szCs w:val="24"/>
        </w:rPr>
      </w:pPr>
    </w:p>
    <w:p w14:paraId="0FE553C2" w14:textId="77777777" w:rsidR="00395884" w:rsidRPr="00252E98" w:rsidRDefault="00A464ED">
      <w:pPr>
        <w:pStyle w:val="Default"/>
        <w:spacing w:line="280" w:lineRule="atLeast"/>
        <w:rPr>
          <w:rFonts w:ascii="Arial" w:eastAsia="Times" w:hAnsi="Arial" w:cs="Arial"/>
          <w:b/>
          <w:bCs/>
          <w:sz w:val="24"/>
          <w:szCs w:val="24"/>
          <w:u w:val="single"/>
        </w:rPr>
      </w:pPr>
      <w:proofErr w:type="spellStart"/>
      <w:r w:rsidRPr="00252E98">
        <w:rPr>
          <w:rFonts w:ascii="Arial" w:hAnsi="Arial" w:cs="Arial"/>
          <w:b/>
          <w:bCs/>
          <w:sz w:val="24"/>
          <w:szCs w:val="24"/>
          <w:u w:val="single"/>
        </w:rPr>
        <w:t>Issue</w:t>
      </w:r>
      <w:proofErr w:type="spellEnd"/>
    </w:p>
    <w:p w14:paraId="6BCAE89B" w14:textId="77777777" w:rsidR="00395884" w:rsidRPr="00252E98" w:rsidRDefault="00A464ED">
      <w:pPr>
        <w:pStyle w:val="Body"/>
        <w:rPr>
          <w:rFonts w:ascii="Arial" w:hAnsi="Arial" w:cs="Arial"/>
          <w:sz w:val="24"/>
          <w:szCs w:val="24"/>
        </w:rPr>
      </w:pPr>
      <w:r w:rsidRPr="00252E98">
        <w:rPr>
          <w:rFonts w:ascii="Arial" w:hAnsi="Arial" w:cs="Arial"/>
          <w:sz w:val="24"/>
          <w:szCs w:val="24"/>
          <w:shd w:val="clear" w:color="auto" w:fill="FFFFFF"/>
        </w:rPr>
        <w:t xml:space="preserve">Acting on Abbie’s statement, Emily invested in PFC’s shares. As PFC’s </w:t>
      </w:r>
      <w:proofErr w:type="spellStart"/>
      <w:r w:rsidRPr="00252E98">
        <w:rPr>
          <w:rFonts w:ascii="Arial" w:hAnsi="Arial" w:cs="Arial"/>
          <w:sz w:val="24"/>
          <w:szCs w:val="24"/>
          <w:shd w:val="clear" w:color="auto" w:fill="FFFFFF"/>
          <w:lang w:val="it-IT"/>
        </w:rPr>
        <w:t>approval</w:t>
      </w:r>
      <w:proofErr w:type="spellEnd"/>
      <w:r w:rsidRPr="00252E98">
        <w:rPr>
          <w:rFonts w:ascii="Arial" w:hAnsi="Arial" w:cs="Arial"/>
          <w:sz w:val="24"/>
          <w:szCs w:val="24"/>
          <w:shd w:val="clear" w:color="auto" w:fill="FFFFFF"/>
        </w:rPr>
        <w:t xml:space="preserve"> was </w:t>
      </w:r>
      <w:proofErr w:type="spellStart"/>
      <w:r w:rsidRPr="00252E98">
        <w:rPr>
          <w:rFonts w:ascii="Arial" w:hAnsi="Arial" w:cs="Arial"/>
          <w:sz w:val="24"/>
          <w:szCs w:val="24"/>
          <w:shd w:val="clear" w:color="auto" w:fill="FFFFFF"/>
          <w:lang w:val="it-IT"/>
        </w:rPr>
        <w:t>rescind</w:t>
      </w:r>
      <w:proofErr w:type="spellEnd"/>
      <w:r w:rsidRPr="00252E98">
        <w:rPr>
          <w:rFonts w:ascii="Arial" w:hAnsi="Arial" w:cs="Arial"/>
          <w:sz w:val="24"/>
          <w:szCs w:val="24"/>
          <w:shd w:val="clear" w:color="auto" w:fill="FFFFFF"/>
        </w:rPr>
        <w:t>ed, Emily lost her investment</w:t>
      </w:r>
      <w:r w:rsidRPr="00252E98">
        <w:rPr>
          <w:rFonts w:ascii="Arial" w:hAnsi="Arial" w:cs="Arial"/>
          <w:sz w:val="24"/>
          <w:szCs w:val="24"/>
        </w:rPr>
        <w:t>. Does Emily have the grounds to bring an action of negligence against Abbie?</w:t>
      </w:r>
    </w:p>
    <w:p w14:paraId="624A65D0" w14:textId="77777777" w:rsidR="00395884" w:rsidRPr="00252E98" w:rsidRDefault="00395884">
      <w:pPr>
        <w:pStyle w:val="Body"/>
        <w:rPr>
          <w:rFonts w:ascii="Arial" w:hAnsi="Arial" w:cs="Arial"/>
          <w:sz w:val="24"/>
          <w:szCs w:val="24"/>
        </w:rPr>
      </w:pPr>
    </w:p>
    <w:p w14:paraId="5B30BECB" w14:textId="77777777" w:rsidR="00395884" w:rsidRPr="00252E98" w:rsidRDefault="00A464ED">
      <w:pPr>
        <w:pStyle w:val="Default"/>
        <w:spacing w:line="280" w:lineRule="atLeast"/>
        <w:rPr>
          <w:rFonts w:ascii="Arial" w:eastAsia="Times" w:hAnsi="Arial" w:cs="Arial"/>
          <w:b/>
          <w:bCs/>
          <w:sz w:val="24"/>
          <w:szCs w:val="24"/>
          <w:u w:val="single"/>
        </w:rPr>
      </w:pPr>
      <w:r w:rsidRPr="00252E98">
        <w:rPr>
          <w:rFonts w:ascii="Arial" w:hAnsi="Arial" w:cs="Arial"/>
          <w:b/>
          <w:bCs/>
          <w:sz w:val="24"/>
          <w:szCs w:val="24"/>
          <w:u w:val="single"/>
          <w:lang w:val="en-US"/>
        </w:rPr>
        <w:t xml:space="preserve">Law </w:t>
      </w:r>
    </w:p>
    <w:p w14:paraId="7814509A" w14:textId="77777777" w:rsidR="00395884" w:rsidRPr="00252E98" w:rsidRDefault="00A464ED">
      <w:pPr>
        <w:pStyle w:val="Body"/>
        <w:rPr>
          <w:rFonts w:ascii="Arial" w:hAnsi="Arial" w:cs="Arial"/>
          <w:sz w:val="24"/>
          <w:szCs w:val="24"/>
        </w:rPr>
      </w:pPr>
      <w:r w:rsidRPr="00252E98">
        <w:rPr>
          <w:rFonts w:ascii="Arial" w:hAnsi="Arial" w:cs="Arial"/>
          <w:sz w:val="24"/>
          <w:szCs w:val="24"/>
        </w:rPr>
        <w:t>Est</w:t>
      </w:r>
      <w:r w:rsidRPr="00252E98">
        <w:rPr>
          <w:rFonts w:ascii="Arial" w:hAnsi="Arial" w:cs="Arial"/>
          <w:sz w:val="24"/>
          <w:szCs w:val="24"/>
        </w:rPr>
        <w:t xml:space="preserve">ablished in </w:t>
      </w:r>
      <w:r w:rsidRPr="00252E98">
        <w:rPr>
          <w:rFonts w:ascii="Arial" w:hAnsi="Arial" w:cs="Arial"/>
          <w:sz w:val="24"/>
          <w:szCs w:val="24"/>
          <w:shd w:val="clear" w:color="auto" w:fill="FFFFFF"/>
        </w:rPr>
        <w:t>Hedley Byrne &amp; Co Ltd v Heller &amp; Partners LTD</w:t>
      </w:r>
      <w:r w:rsidRPr="00252E98">
        <w:rPr>
          <w:rFonts w:ascii="Arial" w:eastAsia="Helvetica Neue" w:hAnsi="Arial" w:cs="Arial"/>
          <w:sz w:val="24"/>
          <w:szCs w:val="24"/>
          <w:shd w:val="clear" w:color="auto" w:fill="FFFFFF"/>
          <w:vertAlign w:val="superscript"/>
        </w:rPr>
        <w:footnoteReference w:id="4"/>
      </w:r>
      <w:r w:rsidRPr="00252E98">
        <w:rPr>
          <w:rFonts w:ascii="Arial" w:hAnsi="Arial" w:cs="Arial"/>
          <w:sz w:val="24"/>
          <w:szCs w:val="24"/>
        </w:rPr>
        <w:t>, a claim for negligent misstatement arises when the defendant who owes a duty of care to a claimant, breaches the duty to take care when making a statement and an economic loss is incurred by the c</w:t>
      </w:r>
      <w:r w:rsidRPr="00252E98">
        <w:rPr>
          <w:rFonts w:ascii="Arial" w:hAnsi="Arial" w:cs="Arial"/>
          <w:sz w:val="24"/>
          <w:szCs w:val="24"/>
        </w:rPr>
        <w:t>laimant as a result of reliance.</w:t>
      </w:r>
    </w:p>
    <w:p w14:paraId="3E652280" w14:textId="77777777" w:rsidR="00395884" w:rsidRPr="00252E98" w:rsidRDefault="00395884">
      <w:pPr>
        <w:pStyle w:val="Body"/>
        <w:rPr>
          <w:rFonts w:ascii="Arial" w:hAnsi="Arial" w:cs="Arial"/>
          <w:sz w:val="24"/>
          <w:szCs w:val="24"/>
        </w:rPr>
      </w:pPr>
    </w:p>
    <w:p w14:paraId="48E95A65" w14:textId="77777777" w:rsidR="00395884" w:rsidRPr="00252E98" w:rsidRDefault="00A464ED">
      <w:pPr>
        <w:pStyle w:val="Body"/>
        <w:rPr>
          <w:rFonts w:ascii="Arial" w:hAnsi="Arial" w:cs="Arial"/>
          <w:sz w:val="24"/>
          <w:szCs w:val="24"/>
        </w:rPr>
      </w:pPr>
      <w:r w:rsidRPr="00252E98">
        <w:rPr>
          <w:rFonts w:ascii="Arial" w:hAnsi="Arial" w:cs="Arial"/>
          <w:sz w:val="24"/>
          <w:szCs w:val="24"/>
        </w:rPr>
        <w:lastRenderedPageBreak/>
        <w:t>A duty of care transpires when the statement made by the defendant, is within their field of expertise and the defendant knows or should have known that the claimant will use the statement, what it will be used for, and th</w:t>
      </w:r>
      <w:r w:rsidRPr="00252E98">
        <w:rPr>
          <w:rFonts w:ascii="Arial" w:hAnsi="Arial" w:cs="Arial"/>
          <w:sz w:val="24"/>
          <w:szCs w:val="24"/>
        </w:rPr>
        <w:t>at it would be relied on.</w:t>
      </w:r>
    </w:p>
    <w:p w14:paraId="3B3DC2FD" w14:textId="77777777" w:rsidR="00395884" w:rsidRPr="00252E98" w:rsidRDefault="00395884">
      <w:pPr>
        <w:pStyle w:val="Body"/>
        <w:rPr>
          <w:rFonts w:ascii="Arial" w:hAnsi="Arial" w:cs="Arial"/>
          <w:sz w:val="24"/>
          <w:szCs w:val="24"/>
        </w:rPr>
      </w:pPr>
    </w:p>
    <w:p w14:paraId="4B6E25C6" w14:textId="77777777" w:rsidR="00395884" w:rsidRPr="00252E98" w:rsidRDefault="00A464ED">
      <w:pPr>
        <w:pStyle w:val="Body"/>
        <w:rPr>
          <w:rFonts w:ascii="Arial" w:hAnsi="Arial" w:cs="Arial"/>
          <w:sz w:val="24"/>
          <w:szCs w:val="24"/>
        </w:rPr>
      </w:pPr>
      <w:r w:rsidRPr="00252E98">
        <w:rPr>
          <w:rFonts w:ascii="Arial" w:hAnsi="Arial" w:cs="Arial"/>
          <w:sz w:val="24"/>
          <w:szCs w:val="24"/>
        </w:rPr>
        <w:t xml:space="preserve">A breach in duty </w:t>
      </w:r>
      <w:r w:rsidRPr="00252E98">
        <w:rPr>
          <w:rFonts w:ascii="Arial" w:hAnsi="Arial" w:cs="Arial"/>
          <w:sz w:val="24"/>
          <w:szCs w:val="24"/>
          <w:shd w:val="clear" w:color="auto" w:fill="FFFFFF"/>
        </w:rPr>
        <w:t xml:space="preserve">is determined by the foreseeability of the harm. If the harm was foreseeable the likeliness, potential harm, and cost of prevention are weighted to decide what reasonable action would have been taken by an </w:t>
      </w:r>
      <w:r w:rsidRPr="00252E98">
        <w:rPr>
          <w:rFonts w:ascii="Arial" w:hAnsi="Arial" w:cs="Arial"/>
          <w:sz w:val="24"/>
          <w:szCs w:val="24"/>
          <w:shd w:val="clear" w:color="auto" w:fill="FFFFFF"/>
        </w:rPr>
        <w:t>average expert.</w:t>
      </w:r>
      <w:r w:rsidRPr="00252E98">
        <w:rPr>
          <w:rFonts w:ascii="Arial" w:hAnsi="Arial" w:cs="Arial"/>
          <w:sz w:val="24"/>
          <w:szCs w:val="24"/>
        </w:rPr>
        <w:t xml:space="preserve"> </w:t>
      </w:r>
    </w:p>
    <w:p w14:paraId="5BABE9CE" w14:textId="77777777" w:rsidR="00395884" w:rsidRPr="00252E98" w:rsidRDefault="00395884">
      <w:pPr>
        <w:pStyle w:val="Body"/>
        <w:rPr>
          <w:rFonts w:ascii="Arial" w:hAnsi="Arial" w:cs="Arial"/>
          <w:sz w:val="24"/>
          <w:szCs w:val="24"/>
          <w:shd w:val="clear" w:color="auto" w:fill="FFFFFF"/>
        </w:rPr>
      </w:pPr>
    </w:p>
    <w:p w14:paraId="6D356B9C" w14:textId="77777777" w:rsidR="00395884" w:rsidRPr="00252E98" w:rsidRDefault="00A464ED">
      <w:pPr>
        <w:pStyle w:val="Body"/>
        <w:rPr>
          <w:rFonts w:ascii="Arial" w:hAnsi="Arial" w:cs="Arial"/>
          <w:sz w:val="24"/>
          <w:szCs w:val="24"/>
          <w:shd w:val="clear" w:color="auto" w:fill="FFFFFF"/>
        </w:rPr>
      </w:pPr>
      <w:r w:rsidRPr="00252E98">
        <w:rPr>
          <w:rFonts w:ascii="Arial" w:hAnsi="Arial" w:cs="Arial"/>
          <w:sz w:val="24"/>
          <w:szCs w:val="24"/>
          <w:shd w:val="clear" w:color="auto" w:fill="FFFFFF"/>
        </w:rPr>
        <w:t>A loss is one which occurs as a consequence of reliance on the statement made by the defendant. This is measured based on causation, foreseeability, and remoteness.</w:t>
      </w:r>
    </w:p>
    <w:p w14:paraId="356E2F77" w14:textId="77777777" w:rsidR="00395884" w:rsidRPr="00252E98" w:rsidRDefault="00395884">
      <w:pPr>
        <w:pStyle w:val="Body"/>
        <w:rPr>
          <w:rFonts w:ascii="Arial" w:hAnsi="Arial" w:cs="Arial"/>
          <w:sz w:val="24"/>
          <w:szCs w:val="24"/>
          <w:shd w:val="clear" w:color="auto" w:fill="FFFFFF"/>
        </w:rPr>
      </w:pPr>
    </w:p>
    <w:p w14:paraId="60707DB1" w14:textId="32221708" w:rsidR="00395884" w:rsidRPr="00252E98" w:rsidRDefault="00A464ED">
      <w:pPr>
        <w:pStyle w:val="Body"/>
        <w:rPr>
          <w:rFonts w:ascii="Arial" w:hAnsi="Arial" w:cs="Arial"/>
          <w:b/>
          <w:bCs/>
          <w:sz w:val="24"/>
          <w:szCs w:val="24"/>
          <w:u w:val="single"/>
          <w:shd w:val="clear" w:color="auto" w:fill="FFFFFF"/>
        </w:rPr>
      </w:pPr>
      <w:r w:rsidRPr="00252E98">
        <w:rPr>
          <w:rFonts w:ascii="Arial" w:hAnsi="Arial" w:cs="Arial"/>
          <w:b/>
          <w:bCs/>
          <w:sz w:val="24"/>
          <w:szCs w:val="24"/>
          <w:u w:val="single"/>
          <w:shd w:val="clear" w:color="auto" w:fill="FFFFFF"/>
        </w:rPr>
        <w:t>Application</w:t>
      </w:r>
    </w:p>
    <w:p w14:paraId="5692DE91" w14:textId="77777777" w:rsidR="00395884" w:rsidRPr="00252E98" w:rsidRDefault="00A464ED">
      <w:pPr>
        <w:pStyle w:val="Body"/>
        <w:rPr>
          <w:rFonts w:ascii="Arial" w:hAnsi="Arial" w:cs="Arial"/>
          <w:sz w:val="24"/>
          <w:szCs w:val="24"/>
          <w:u w:val="single"/>
          <w:shd w:val="clear" w:color="auto" w:fill="FFFFFF"/>
        </w:rPr>
      </w:pPr>
      <w:r w:rsidRPr="00252E98">
        <w:rPr>
          <w:rFonts w:ascii="Arial" w:hAnsi="Arial" w:cs="Arial"/>
          <w:sz w:val="24"/>
          <w:szCs w:val="24"/>
          <w:u w:val="single"/>
          <w:shd w:val="clear" w:color="auto" w:fill="FFFFFF"/>
        </w:rPr>
        <w:tab/>
        <w:t>Duty of care</w:t>
      </w:r>
    </w:p>
    <w:p w14:paraId="5B7156C3" w14:textId="77777777" w:rsidR="00395884" w:rsidRPr="00252E98" w:rsidRDefault="00A464ED">
      <w:pPr>
        <w:pStyle w:val="Body"/>
        <w:rPr>
          <w:rFonts w:ascii="Arial" w:hAnsi="Arial" w:cs="Arial"/>
          <w:sz w:val="24"/>
          <w:szCs w:val="24"/>
          <w:shd w:val="clear" w:color="auto" w:fill="FFFFFF"/>
        </w:rPr>
      </w:pPr>
      <w:r w:rsidRPr="00252E98">
        <w:rPr>
          <w:rFonts w:ascii="Arial" w:hAnsi="Arial" w:cs="Arial"/>
          <w:sz w:val="24"/>
          <w:szCs w:val="24"/>
          <w:shd w:val="clear" w:color="auto" w:fill="FFFFFF"/>
        </w:rPr>
        <w:t xml:space="preserve">Abbie who is employed at PFC and possesses a </w:t>
      </w:r>
      <w:r w:rsidRPr="00252E98">
        <w:rPr>
          <w:rFonts w:ascii="Arial" w:hAnsi="Arial" w:cs="Arial"/>
          <w:sz w:val="24"/>
          <w:szCs w:val="24"/>
          <w:shd w:val="clear" w:color="auto" w:fill="FFFFFF"/>
        </w:rPr>
        <w:t xml:space="preserve">strong knowledge of biochemistry, may be observed as an expert in the field of PFC’s operations. </w:t>
      </w:r>
    </w:p>
    <w:p w14:paraId="261A5ADF" w14:textId="77777777" w:rsidR="00395884" w:rsidRPr="00252E98" w:rsidRDefault="00A464ED">
      <w:pPr>
        <w:pStyle w:val="Body"/>
        <w:rPr>
          <w:rFonts w:ascii="Arial" w:hAnsi="Arial" w:cs="Arial"/>
          <w:sz w:val="24"/>
          <w:szCs w:val="24"/>
          <w:shd w:val="clear" w:color="auto" w:fill="FFFFFF"/>
        </w:rPr>
      </w:pPr>
      <w:r w:rsidRPr="00252E98">
        <w:rPr>
          <w:rFonts w:ascii="Arial" w:hAnsi="Arial" w:cs="Arial"/>
          <w:sz w:val="24"/>
          <w:szCs w:val="24"/>
          <w:shd w:val="clear" w:color="auto" w:fill="FFFFFF"/>
        </w:rPr>
        <w:t>Abbie was aware that her statement was directed at Emily and assuming Abbie was conscious of Emily’s interest in stocks,</w:t>
      </w:r>
      <w:r w:rsidRPr="00252E98">
        <w:rPr>
          <w:rFonts w:ascii="Arial" w:hAnsi="Arial" w:cs="Arial"/>
          <w:sz w:val="24"/>
          <w:szCs w:val="24"/>
          <w:shd w:val="clear" w:color="auto" w:fill="FFFFFF"/>
        </w:rPr>
        <w:t xml:space="preserve"> </w:t>
      </w:r>
      <w:r w:rsidRPr="00252E98">
        <w:rPr>
          <w:rFonts w:ascii="Arial" w:hAnsi="Arial" w:cs="Arial"/>
          <w:sz w:val="24"/>
          <w:szCs w:val="24"/>
          <w:shd w:val="clear" w:color="auto" w:fill="FFFFFF"/>
        </w:rPr>
        <w:t>she knew what it would be likely used</w:t>
      </w:r>
      <w:r w:rsidRPr="00252E98">
        <w:rPr>
          <w:rFonts w:ascii="Arial" w:hAnsi="Arial" w:cs="Arial"/>
          <w:sz w:val="24"/>
          <w:szCs w:val="24"/>
          <w:shd w:val="clear" w:color="auto" w:fill="FFFFFF"/>
        </w:rPr>
        <w:t xml:space="preserve"> for. Although due to the informal nature of the conversation, it is unclear to what extent Abbie knew or should have known that Emily would rely on her statement. Especially as her remark about PFC’s stock value, is beyond her range of expertise. </w:t>
      </w:r>
    </w:p>
    <w:p w14:paraId="5C1CE34B" w14:textId="77777777" w:rsidR="00395884" w:rsidRPr="00252E98" w:rsidRDefault="00A464ED">
      <w:pPr>
        <w:pStyle w:val="Body"/>
        <w:rPr>
          <w:rFonts w:ascii="Arial" w:hAnsi="Arial" w:cs="Arial"/>
          <w:sz w:val="24"/>
          <w:szCs w:val="24"/>
          <w:shd w:val="clear" w:color="auto" w:fill="FFFFFF"/>
        </w:rPr>
      </w:pPr>
      <w:r w:rsidRPr="00252E98">
        <w:rPr>
          <w:rFonts w:ascii="Arial" w:hAnsi="Arial" w:cs="Arial"/>
          <w:sz w:val="24"/>
          <w:szCs w:val="24"/>
          <w:shd w:val="clear" w:color="auto" w:fill="FFFFFF"/>
        </w:rPr>
        <w:t>In Hedl</w:t>
      </w:r>
      <w:r w:rsidRPr="00252E98">
        <w:rPr>
          <w:rFonts w:ascii="Arial" w:hAnsi="Arial" w:cs="Arial"/>
          <w:sz w:val="24"/>
          <w:szCs w:val="24"/>
          <w:shd w:val="clear" w:color="auto" w:fill="FFFFFF"/>
        </w:rPr>
        <w:t>ey Byrne &amp; Co Ltd v Heller &amp; Partners LTD</w:t>
      </w:r>
      <w:r w:rsidRPr="00252E98">
        <w:rPr>
          <w:rFonts w:ascii="Arial" w:eastAsia="Helvetica Neue" w:hAnsi="Arial" w:cs="Arial"/>
          <w:sz w:val="24"/>
          <w:szCs w:val="24"/>
          <w:shd w:val="clear" w:color="auto" w:fill="FFFFFF"/>
          <w:vertAlign w:val="superscript"/>
        </w:rPr>
        <w:footnoteReference w:id="5"/>
      </w:r>
      <w:r w:rsidRPr="00252E98">
        <w:rPr>
          <w:rFonts w:ascii="Arial" w:hAnsi="Arial" w:cs="Arial"/>
          <w:sz w:val="24"/>
          <w:szCs w:val="24"/>
          <w:shd w:val="clear" w:color="auto" w:fill="FFFFFF"/>
        </w:rPr>
        <w:t>, the court found that a defendant may disclaim away their duty of care by accompanying their statement with a disclaimer, which Abbie made during the conversation</w:t>
      </w:r>
      <w:r w:rsidRPr="00252E98">
        <w:rPr>
          <w:rFonts w:ascii="Arial" w:hAnsi="Arial" w:cs="Arial"/>
          <w:sz w:val="24"/>
          <w:szCs w:val="24"/>
          <w:shd w:val="clear" w:color="auto" w:fill="FFFFFF"/>
        </w:rPr>
        <w:t>.</w:t>
      </w:r>
      <w:r w:rsidRPr="00252E98">
        <w:rPr>
          <w:rFonts w:ascii="Arial" w:hAnsi="Arial" w:cs="Arial"/>
          <w:sz w:val="24"/>
          <w:szCs w:val="24"/>
          <w:shd w:val="clear" w:color="auto" w:fill="FFFFFF"/>
        </w:rPr>
        <w:t xml:space="preserve"> </w:t>
      </w:r>
    </w:p>
    <w:p w14:paraId="5B489C9F" w14:textId="77777777" w:rsidR="00395884" w:rsidRPr="00252E98" w:rsidRDefault="00A464ED">
      <w:pPr>
        <w:pStyle w:val="Body"/>
        <w:rPr>
          <w:rFonts w:ascii="Arial" w:hAnsi="Arial" w:cs="Arial"/>
          <w:sz w:val="24"/>
          <w:szCs w:val="24"/>
          <w:shd w:val="clear" w:color="auto" w:fill="FFFFFF"/>
        </w:rPr>
      </w:pPr>
      <w:r w:rsidRPr="00252E98">
        <w:rPr>
          <w:rFonts w:ascii="Arial" w:hAnsi="Arial" w:cs="Arial"/>
          <w:sz w:val="24"/>
          <w:szCs w:val="24"/>
          <w:shd w:val="clear" w:color="auto" w:fill="FFFFFF"/>
        </w:rPr>
        <w:t>Therefore, based on an unclear level of reliance</w:t>
      </w:r>
      <w:r w:rsidRPr="00252E98">
        <w:rPr>
          <w:rFonts w:ascii="Arial" w:hAnsi="Arial" w:cs="Arial"/>
          <w:sz w:val="24"/>
          <w:szCs w:val="24"/>
          <w:shd w:val="clear" w:color="auto" w:fill="FFFFFF"/>
        </w:rPr>
        <w:t xml:space="preserve"> and Hedley Byrne &amp; Co Ltd v Heller &amp; Partners LTD</w:t>
      </w:r>
      <w:r w:rsidRPr="00252E98">
        <w:rPr>
          <w:rFonts w:ascii="Arial" w:eastAsia="Helvetica Neue" w:hAnsi="Arial" w:cs="Arial"/>
          <w:sz w:val="24"/>
          <w:szCs w:val="24"/>
          <w:shd w:val="clear" w:color="auto" w:fill="FFFFFF"/>
          <w:vertAlign w:val="superscript"/>
        </w:rPr>
        <w:footnoteReference w:id="6"/>
      </w:r>
      <w:r w:rsidRPr="00252E98">
        <w:rPr>
          <w:rFonts w:ascii="Arial" w:hAnsi="Arial" w:cs="Arial"/>
          <w:sz w:val="24"/>
          <w:szCs w:val="24"/>
          <w:shd w:val="clear" w:color="auto" w:fill="FFFFFF"/>
        </w:rPr>
        <w:t>, Emily is unlikely to have substantial grounds to claim that Abbie owed</w:t>
      </w:r>
      <w:r w:rsidRPr="00252E98">
        <w:rPr>
          <w:rFonts w:ascii="Arial" w:hAnsi="Arial" w:cs="Arial"/>
          <w:sz w:val="24"/>
          <w:szCs w:val="24"/>
        </w:rPr>
        <w:t xml:space="preserve"> </w:t>
      </w:r>
      <w:r w:rsidRPr="00252E98">
        <w:rPr>
          <w:rFonts w:ascii="Arial" w:hAnsi="Arial" w:cs="Arial"/>
          <w:sz w:val="24"/>
          <w:szCs w:val="24"/>
          <w:shd w:val="clear" w:color="auto" w:fill="FFFFFF"/>
        </w:rPr>
        <w:t>Emily a duty of care.</w:t>
      </w:r>
    </w:p>
    <w:p w14:paraId="0BAD5A94" w14:textId="77777777" w:rsidR="00395884" w:rsidRPr="00252E98" w:rsidRDefault="00395884">
      <w:pPr>
        <w:pStyle w:val="Default"/>
        <w:spacing w:line="280" w:lineRule="atLeast"/>
        <w:rPr>
          <w:rFonts w:ascii="Arial" w:eastAsia="Times" w:hAnsi="Arial" w:cs="Arial"/>
          <w:sz w:val="24"/>
          <w:szCs w:val="24"/>
          <w:shd w:val="clear" w:color="auto" w:fill="FFFFFF"/>
        </w:rPr>
      </w:pPr>
    </w:p>
    <w:p w14:paraId="147898F0" w14:textId="77777777" w:rsidR="00395884" w:rsidRPr="00252E98" w:rsidRDefault="00A464ED">
      <w:pPr>
        <w:pStyle w:val="Default"/>
        <w:spacing w:line="280" w:lineRule="atLeast"/>
        <w:rPr>
          <w:rFonts w:ascii="Arial" w:eastAsia="Times" w:hAnsi="Arial" w:cs="Arial"/>
          <w:sz w:val="24"/>
          <w:szCs w:val="24"/>
          <w:u w:val="single"/>
          <w:shd w:val="clear" w:color="auto" w:fill="FFFFFF"/>
        </w:rPr>
      </w:pPr>
      <w:r w:rsidRPr="00252E98">
        <w:rPr>
          <w:rFonts w:ascii="Arial" w:eastAsia="Times" w:hAnsi="Arial" w:cs="Arial"/>
          <w:sz w:val="24"/>
          <w:szCs w:val="24"/>
          <w:u w:val="single"/>
          <w:shd w:val="clear" w:color="auto" w:fill="FFFFFF"/>
          <w:lang w:val="en-US"/>
        </w:rPr>
        <w:tab/>
        <w:t>Breach in duty of care</w:t>
      </w:r>
    </w:p>
    <w:p w14:paraId="718FF95D" w14:textId="77777777" w:rsidR="00395884" w:rsidRPr="00252E98" w:rsidRDefault="00A464ED">
      <w:pPr>
        <w:pStyle w:val="Body"/>
        <w:rPr>
          <w:rFonts w:ascii="Arial" w:hAnsi="Arial" w:cs="Arial"/>
          <w:sz w:val="24"/>
          <w:szCs w:val="24"/>
          <w:shd w:val="clear" w:color="auto" w:fill="FFFFFF"/>
        </w:rPr>
      </w:pPr>
      <w:r w:rsidRPr="00252E98">
        <w:rPr>
          <w:rFonts w:ascii="Arial" w:hAnsi="Arial" w:cs="Arial"/>
          <w:sz w:val="24"/>
          <w:szCs w:val="24"/>
          <w:shd w:val="clear" w:color="auto" w:fill="FFFFFF"/>
        </w:rPr>
        <w:t xml:space="preserve">Assuming there was a duty of care and Abbie was aware that Emily has an interest in stocks, Abbie could foresee Emily acting on her statement and investing in PFC shares. </w:t>
      </w:r>
    </w:p>
    <w:p w14:paraId="3B5E5E3F" w14:textId="77777777" w:rsidR="00395884" w:rsidRPr="00252E98" w:rsidRDefault="00A464ED">
      <w:pPr>
        <w:pStyle w:val="Body"/>
        <w:rPr>
          <w:rFonts w:ascii="Arial" w:hAnsi="Arial" w:cs="Arial"/>
          <w:sz w:val="24"/>
          <w:szCs w:val="24"/>
          <w:shd w:val="clear" w:color="auto" w:fill="FFFFFF"/>
        </w:rPr>
      </w:pPr>
      <w:r w:rsidRPr="00252E98">
        <w:rPr>
          <w:rFonts w:ascii="Arial" w:hAnsi="Arial" w:cs="Arial"/>
          <w:sz w:val="24"/>
          <w:szCs w:val="24"/>
          <w:shd w:val="clear" w:color="auto" w:fill="FFFFFF"/>
        </w:rPr>
        <w:t>However, the likelihood of this occurring was small as Abbie advised Emily against a</w:t>
      </w:r>
      <w:r w:rsidRPr="00252E98">
        <w:rPr>
          <w:rFonts w:ascii="Arial" w:hAnsi="Arial" w:cs="Arial"/>
          <w:sz w:val="24"/>
          <w:szCs w:val="24"/>
          <w:shd w:val="clear" w:color="auto" w:fill="FFFFFF"/>
        </w:rPr>
        <w:t xml:space="preserve">ction and instead told her to consult with her stockbroker. </w:t>
      </w:r>
    </w:p>
    <w:p w14:paraId="2E525B4C" w14:textId="77777777" w:rsidR="00395884" w:rsidRPr="00252E98" w:rsidRDefault="00A464ED">
      <w:pPr>
        <w:pStyle w:val="Body"/>
        <w:rPr>
          <w:rFonts w:ascii="Arial" w:hAnsi="Arial" w:cs="Arial"/>
          <w:sz w:val="24"/>
          <w:szCs w:val="24"/>
          <w:shd w:val="clear" w:color="auto" w:fill="FFFFFF"/>
        </w:rPr>
      </w:pPr>
      <w:r w:rsidRPr="00252E98">
        <w:rPr>
          <w:rFonts w:ascii="Arial" w:hAnsi="Arial" w:cs="Arial"/>
          <w:sz w:val="24"/>
          <w:szCs w:val="24"/>
          <w:shd w:val="clear" w:color="auto" w:fill="FFFFFF"/>
        </w:rPr>
        <w:t xml:space="preserve">Nevertheless, the potential harm of Emily acting on Abbie’s advice was relatively high as the stock market is known to be volatile and PFC as a company was in an unpredictable position. </w:t>
      </w:r>
    </w:p>
    <w:p w14:paraId="2885463B" w14:textId="77777777" w:rsidR="00395884" w:rsidRPr="00252E98" w:rsidRDefault="00A464ED">
      <w:pPr>
        <w:pStyle w:val="Body"/>
        <w:rPr>
          <w:rFonts w:ascii="Arial" w:hAnsi="Arial" w:cs="Arial"/>
          <w:sz w:val="24"/>
          <w:szCs w:val="24"/>
          <w:shd w:val="clear" w:color="auto" w:fill="FFFFFF"/>
        </w:rPr>
      </w:pPr>
      <w:r w:rsidRPr="00252E98">
        <w:rPr>
          <w:rFonts w:ascii="Arial" w:hAnsi="Arial" w:cs="Arial"/>
          <w:sz w:val="24"/>
          <w:szCs w:val="24"/>
          <w:shd w:val="clear" w:color="auto" w:fill="FFFFFF"/>
        </w:rPr>
        <w:t>Comparat</w:t>
      </w:r>
      <w:r w:rsidRPr="00252E98">
        <w:rPr>
          <w:rFonts w:ascii="Arial" w:hAnsi="Arial" w:cs="Arial"/>
          <w:sz w:val="24"/>
          <w:szCs w:val="24"/>
          <w:shd w:val="clear" w:color="auto" w:fill="FFFFFF"/>
        </w:rPr>
        <w:t xml:space="preserve">ively, the cost to prevent this harm </w:t>
      </w:r>
      <w:r w:rsidRPr="00252E98">
        <w:rPr>
          <w:rFonts w:ascii="Arial" w:hAnsi="Arial" w:cs="Arial"/>
          <w:sz w:val="24"/>
          <w:szCs w:val="24"/>
          <w:shd w:val="clear" w:color="auto" w:fill="FFFFFF"/>
        </w:rPr>
        <w:t>is</w:t>
      </w:r>
      <w:r w:rsidRPr="00252E98">
        <w:rPr>
          <w:rFonts w:ascii="Arial" w:hAnsi="Arial" w:cs="Arial"/>
          <w:sz w:val="24"/>
          <w:szCs w:val="24"/>
          <w:shd w:val="clear" w:color="auto" w:fill="FFFFFF"/>
        </w:rPr>
        <w:t xml:space="preserve"> relatively low as </w:t>
      </w:r>
      <w:r w:rsidRPr="00252E98">
        <w:rPr>
          <w:rFonts w:ascii="Arial" w:hAnsi="Arial" w:cs="Arial"/>
          <w:sz w:val="24"/>
          <w:szCs w:val="24"/>
          <w:shd w:val="clear" w:color="auto" w:fill="FFFFFF"/>
          <w:lang w:val="it-IT"/>
        </w:rPr>
        <w:t xml:space="preserve">Abbie </w:t>
      </w:r>
      <w:r w:rsidRPr="00252E98">
        <w:rPr>
          <w:rFonts w:ascii="Arial" w:hAnsi="Arial" w:cs="Arial"/>
          <w:sz w:val="24"/>
          <w:szCs w:val="24"/>
          <w:shd w:val="clear" w:color="auto" w:fill="FFFFFF"/>
        </w:rPr>
        <w:t xml:space="preserve">could </w:t>
      </w:r>
      <w:proofErr w:type="spellStart"/>
      <w:r w:rsidRPr="00252E98">
        <w:rPr>
          <w:rFonts w:ascii="Arial" w:hAnsi="Arial" w:cs="Arial"/>
          <w:sz w:val="24"/>
          <w:szCs w:val="24"/>
          <w:shd w:val="clear" w:color="auto" w:fill="FFFFFF"/>
          <w:lang w:val="de-DE"/>
        </w:rPr>
        <w:t>refra</w:t>
      </w:r>
      <w:proofErr w:type="spellEnd"/>
      <w:r w:rsidRPr="00252E98">
        <w:rPr>
          <w:rFonts w:ascii="Arial" w:hAnsi="Arial" w:cs="Arial"/>
          <w:sz w:val="24"/>
          <w:szCs w:val="24"/>
          <w:shd w:val="clear" w:color="auto" w:fill="FFFFFF"/>
        </w:rPr>
        <w:t>in from making a statement about PFC</w:t>
      </w:r>
      <w:r w:rsidRPr="00252E98">
        <w:rPr>
          <w:rFonts w:ascii="Arial" w:hAnsi="Arial" w:cs="Arial"/>
          <w:sz w:val="24"/>
          <w:szCs w:val="24"/>
          <w:shd w:val="clear" w:color="auto" w:fill="FFFFFF"/>
        </w:rPr>
        <w:t>’s</w:t>
      </w:r>
      <w:r w:rsidRPr="00252E98">
        <w:rPr>
          <w:rFonts w:ascii="Arial" w:hAnsi="Arial" w:cs="Arial"/>
          <w:sz w:val="24"/>
          <w:szCs w:val="24"/>
          <w:shd w:val="clear" w:color="auto" w:fill="FFFFFF"/>
        </w:rPr>
        <w:t xml:space="preserve"> position</w:t>
      </w:r>
      <w:r w:rsidRPr="00252E98">
        <w:rPr>
          <w:rFonts w:ascii="Arial" w:hAnsi="Arial" w:cs="Arial"/>
          <w:sz w:val="24"/>
          <w:szCs w:val="24"/>
          <w:shd w:val="clear" w:color="auto" w:fill="FFFFFF"/>
        </w:rPr>
        <w:t>.</w:t>
      </w:r>
    </w:p>
    <w:p w14:paraId="1BE41430" w14:textId="77777777" w:rsidR="00395884" w:rsidRPr="00252E98" w:rsidRDefault="00A464ED">
      <w:pPr>
        <w:pStyle w:val="Body"/>
        <w:rPr>
          <w:rFonts w:ascii="Arial" w:hAnsi="Arial" w:cs="Arial"/>
          <w:sz w:val="24"/>
          <w:szCs w:val="24"/>
          <w:shd w:val="clear" w:color="auto" w:fill="FFFFFF"/>
        </w:rPr>
      </w:pPr>
      <w:r w:rsidRPr="00252E98">
        <w:rPr>
          <w:rFonts w:ascii="Arial" w:hAnsi="Arial" w:cs="Arial"/>
          <w:sz w:val="24"/>
          <w:szCs w:val="24"/>
          <w:shd w:val="clear" w:color="auto" w:fill="FFFFFF"/>
        </w:rPr>
        <w:t>In Wagon Mound No.2</w:t>
      </w:r>
      <w:r w:rsidRPr="00252E98">
        <w:rPr>
          <w:rFonts w:ascii="Arial" w:eastAsia="Helvetica Neue" w:hAnsi="Arial" w:cs="Arial"/>
          <w:sz w:val="24"/>
          <w:szCs w:val="24"/>
          <w:shd w:val="clear" w:color="auto" w:fill="FFFFFF"/>
          <w:vertAlign w:val="superscript"/>
        </w:rPr>
        <w:footnoteReference w:id="7"/>
      </w:r>
      <w:r w:rsidRPr="00252E98">
        <w:rPr>
          <w:rFonts w:ascii="Arial" w:hAnsi="Arial" w:cs="Arial"/>
          <w:sz w:val="24"/>
          <w:szCs w:val="24"/>
          <w:shd w:val="clear" w:color="auto" w:fill="FFFFFF"/>
        </w:rPr>
        <w:t>, where the likelihood of harm was low, potential harm was high and the cost of prevention was low, the court fo</w:t>
      </w:r>
      <w:r w:rsidRPr="00252E98">
        <w:rPr>
          <w:rFonts w:ascii="Arial" w:hAnsi="Arial" w:cs="Arial"/>
          <w:sz w:val="24"/>
          <w:szCs w:val="24"/>
          <w:shd w:val="clear" w:color="auto" w:fill="FFFFFF"/>
        </w:rPr>
        <w:t>und the defendant had breached a duty of care. Therefore, based on of Wagon Mound No.2</w:t>
      </w:r>
      <w:r w:rsidRPr="00252E98">
        <w:rPr>
          <w:rFonts w:ascii="Arial" w:eastAsia="Helvetica Neue" w:hAnsi="Arial" w:cs="Arial"/>
          <w:sz w:val="24"/>
          <w:szCs w:val="24"/>
          <w:shd w:val="clear" w:color="auto" w:fill="FFFFFF"/>
          <w:vertAlign w:val="superscript"/>
        </w:rPr>
        <w:footnoteReference w:id="8"/>
      </w:r>
      <w:r w:rsidRPr="00252E98">
        <w:rPr>
          <w:rFonts w:ascii="Arial" w:hAnsi="Arial" w:cs="Arial"/>
          <w:sz w:val="24"/>
          <w:szCs w:val="24"/>
          <w:shd w:val="clear" w:color="auto" w:fill="FFFFFF"/>
        </w:rPr>
        <w:t>, Emily may have grounds to claim that Abbie breached her duty of care.</w:t>
      </w:r>
    </w:p>
    <w:p w14:paraId="17E7253F" w14:textId="77777777" w:rsidR="00395884" w:rsidRPr="00252E98" w:rsidRDefault="00395884">
      <w:pPr>
        <w:pStyle w:val="Body"/>
        <w:rPr>
          <w:rFonts w:ascii="Arial" w:hAnsi="Arial" w:cs="Arial"/>
          <w:sz w:val="24"/>
          <w:szCs w:val="24"/>
          <w:shd w:val="clear" w:color="auto" w:fill="FFFFFF"/>
        </w:rPr>
      </w:pPr>
    </w:p>
    <w:p w14:paraId="198C9105" w14:textId="77777777" w:rsidR="00395884" w:rsidRPr="00252E98" w:rsidRDefault="00A464ED">
      <w:pPr>
        <w:pStyle w:val="Body"/>
        <w:rPr>
          <w:rFonts w:ascii="Arial" w:hAnsi="Arial" w:cs="Arial"/>
          <w:sz w:val="24"/>
          <w:szCs w:val="24"/>
          <w:u w:val="single"/>
          <w:shd w:val="clear" w:color="auto" w:fill="FFFFFF"/>
        </w:rPr>
      </w:pPr>
      <w:r w:rsidRPr="00252E98">
        <w:rPr>
          <w:rFonts w:ascii="Arial" w:hAnsi="Arial" w:cs="Arial"/>
          <w:sz w:val="24"/>
          <w:szCs w:val="24"/>
          <w:u w:val="single"/>
          <w:shd w:val="clear" w:color="auto" w:fill="FFFFFF"/>
        </w:rPr>
        <w:tab/>
        <w:t>Loss</w:t>
      </w:r>
    </w:p>
    <w:p w14:paraId="40A429F5" w14:textId="77777777" w:rsidR="00395884" w:rsidRPr="00252E98" w:rsidRDefault="00A464ED">
      <w:pPr>
        <w:pStyle w:val="Body"/>
        <w:rPr>
          <w:rFonts w:ascii="Arial" w:hAnsi="Arial" w:cs="Arial"/>
          <w:sz w:val="24"/>
          <w:szCs w:val="24"/>
          <w:shd w:val="clear" w:color="auto" w:fill="FFFFFF"/>
        </w:rPr>
      </w:pPr>
      <w:r w:rsidRPr="00252E98">
        <w:rPr>
          <w:rFonts w:ascii="Arial" w:hAnsi="Arial" w:cs="Arial"/>
          <w:sz w:val="24"/>
          <w:szCs w:val="24"/>
          <w:shd w:val="clear" w:color="auto" w:fill="FFFFFF"/>
        </w:rPr>
        <w:t>While Abbie’s statement may have influenced Emily to invest in PFC, it was Emily’s decisio</w:t>
      </w:r>
      <w:r w:rsidRPr="00252E98">
        <w:rPr>
          <w:rFonts w:ascii="Arial" w:hAnsi="Arial" w:cs="Arial"/>
          <w:sz w:val="24"/>
          <w:szCs w:val="24"/>
          <w:shd w:val="clear" w:color="auto" w:fill="FFFFFF"/>
        </w:rPr>
        <w:t xml:space="preserve">n to ignore her stockbroker’s advice which directly caused her to lose her </w:t>
      </w:r>
      <w:r w:rsidRPr="00252E98">
        <w:rPr>
          <w:rFonts w:ascii="Arial" w:hAnsi="Arial" w:cs="Arial"/>
          <w:sz w:val="24"/>
          <w:szCs w:val="24"/>
          <w:shd w:val="clear" w:color="auto" w:fill="FFFFFF"/>
        </w:rPr>
        <w:lastRenderedPageBreak/>
        <w:t xml:space="preserve">investment. In Macfarlane v </w:t>
      </w:r>
      <w:proofErr w:type="spellStart"/>
      <w:r w:rsidRPr="00252E98">
        <w:rPr>
          <w:rFonts w:ascii="Arial" w:hAnsi="Arial" w:cs="Arial"/>
          <w:sz w:val="24"/>
          <w:szCs w:val="24"/>
          <w:shd w:val="clear" w:color="auto" w:fill="FFFFFF"/>
        </w:rPr>
        <w:t>Tayside</w:t>
      </w:r>
      <w:proofErr w:type="spellEnd"/>
      <w:r w:rsidRPr="00252E98">
        <w:rPr>
          <w:rFonts w:ascii="Arial" w:eastAsia="Helvetica Neue" w:hAnsi="Arial" w:cs="Arial"/>
          <w:sz w:val="24"/>
          <w:szCs w:val="24"/>
          <w:shd w:val="clear" w:color="auto" w:fill="FFFFFF"/>
          <w:vertAlign w:val="superscript"/>
        </w:rPr>
        <w:footnoteReference w:id="9"/>
      </w:r>
      <w:r w:rsidRPr="00252E98">
        <w:rPr>
          <w:rFonts w:ascii="Arial" w:hAnsi="Arial" w:cs="Arial"/>
          <w:sz w:val="24"/>
          <w:szCs w:val="24"/>
          <w:shd w:val="clear" w:color="auto" w:fill="FFFFFF"/>
        </w:rPr>
        <w:t xml:space="preserve">, it was found that a defendant is only liable for harm that is closely connected to their negligence. </w:t>
      </w:r>
    </w:p>
    <w:p w14:paraId="74EA7E3B" w14:textId="77777777" w:rsidR="00395884" w:rsidRPr="00252E98" w:rsidRDefault="00A464ED">
      <w:pPr>
        <w:pStyle w:val="Body"/>
        <w:rPr>
          <w:rFonts w:ascii="Arial" w:hAnsi="Arial" w:cs="Arial"/>
          <w:sz w:val="24"/>
          <w:szCs w:val="24"/>
          <w:shd w:val="clear" w:color="auto" w:fill="FFFFFF"/>
        </w:rPr>
      </w:pPr>
      <w:r w:rsidRPr="00252E98">
        <w:rPr>
          <w:rFonts w:ascii="Arial" w:hAnsi="Arial" w:cs="Arial"/>
          <w:sz w:val="24"/>
          <w:szCs w:val="24"/>
          <w:shd w:val="clear" w:color="auto" w:fill="FFFFFF"/>
        </w:rPr>
        <w:t>Additionally, Abbie is not involved in PF</w:t>
      </w:r>
      <w:r w:rsidRPr="00252E98">
        <w:rPr>
          <w:rFonts w:ascii="Arial" w:hAnsi="Arial" w:cs="Arial"/>
          <w:sz w:val="24"/>
          <w:szCs w:val="24"/>
          <w:shd w:val="clear" w:color="auto" w:fill="FFFFFF"/>
        </w:rPr>
        <w:t>C’s regulatory process, therefore it was unforeseeable that PFC’s position would suddenly change. In Wagon Mound No.1</w:t>
      </w:r>
      <w:r w:rsidRPr="00252E98">
        <w:rPr>
          <w:rFonts w:ascii="Arial" w:eastAsia="Helvetica Neue" w:hAnsi="Arial" w:cs="Arial"/>
          <w:sz w:val="24"/>
          <w:szCs w:val="24"/>
          <w:shd w:val="clear" w:color="auto" w:fill="FFFFFF"/>
          <w:vertAlign w:val="superscript"/>
        </w:rPr>
        <w:footnoteReference w:id="10"/>
      </w:r>
      <w:r w:rsidRPr="00252E98">
        <w:rPr>
          <w:rFonts w:ascii="Arial" w:hAnsi="Arial" w:cs="Arial"/>
          <w:sz w:val="24"/>
          <w:szCs w:val="24"/>
          <w:shd w:val="clear" w:color="auto" w:fill="FFFFFF"/>
        </w:rPr>
        <w:t>, it was found that the defendant is only liable for harm which is foreseeable from their breach of care.</w:t>
      </w:r>
    </w:p>
    <w:p w14:paraId="62F9A2A8" w14:textId="77777777" w:rsidR="00395884" w:rsidRPr="00252E98" w:rsidRDefault="00A464ED">
      <w:pPr>
        <w:pStyle w:val="Body"/>
        <w:rPr>
          <w:rFonts w:ascii="Arial" w:hAnsi="Arial" w:cs="Arial"/>
          <w:sz w:val="24"/>
          <w:szCs w:val="24"/>
          <w:shd w:val="clear" w:color="auto" w:fill="FFFFFF"/>
        </w:rPr>
      </w:pPr>
      <w:r w:rsidRPr="00252E98">
        <w:rPr>
          <w:rFonts w:ascii="Arial" w:hAnsi="Arial" w:cs="Arial"/>
          <w:sz w:val="24"/>
          <w:szCs w:val="24"/>
          <w:shd w:val="clear" w:color="auto" w:fill="FFFFFF"/>
        </w:rPr>
        <w:t>Therefore, based on Macfarlane v</w:t>
      </w:r>
      <w:r w:rsidRPr="00252E98">
        <w:rPr>
          <w:rFonts w:ascii="Arial" w:hAnsi="Arial" w:cs="Arial"/>
          <w:sz w:val="24"/>
          <w:szCs w:val="24"/>
          <w:shd w:val="clear" w:color="auto" w:fill="FFFFFF"/>
        </w:rPr>
        <w:t xml:space="preserve"> </w:t>
      </w:r>
      <w:proofErr w:type="spellStart"/>
      <w:r w:rsidRPr="00252E98">
        <w:rPr>
          <w:rFonts w:ascii="Arial" w:hAnsi="Arial" w:cs="Arial"/>
          <w:sz w:val="24"/>
          <w:szCs w:val="24"/>
          <w:shd w:val="clear" w:color="auto" w:fill="FFFFFF"/>
        </w:rPr>
        <w:t>Tayside</w:t>
      </w:r>
      <w:proofErr w:type="spellEnd"/>
      <w:r w:rsidRPr="00252E98">
        <w:rPr>
          <w:rFonts w:ascii="Arial" w:eastAsia="Helvetica Neue" w:hAnsi="Arial" w:cs="Arial"/>
          <w:sz w:val="24"/>
          <w:szCs w:val="24"/>
          <w:shd w:val="clear" w:color="auto" w:fill="FFFFFF"/>
          <w:vertAlign w:val="superscript"/>
        </w:rPr>
        <w:footnoteReference w:id="11"/>
      </w:r>
      <w:r w:rsidRPr="00252E98">
        <w:rPr>
          <w:rFonts w:ascii="Arial" w:hAnsi="Arial" w:cs="Arial"/>
          <w:sz w:val="24"/>
          <w:szCs w:val="24"/>
          <w:shd w:val="clear" w:color="auto" w:fill="FFFFFF"/>
        </w:rPr>
        <w:t xml:space="preserve"> </w:t>
      </w:r>
      <w:r w:rsidRPr="00252E98">
        <w:rPr>
          <w:rFonts w:ascii="Arial" w:hAnsi="Arial" w:cs="Arial"/>
          <w:sz w:val="24"/>
          <w:szCs w:val="24"/>
          <w:shd w:val="clear" w:color="auto" w:fill="FFFFFF"/>
        </w:rPr>
        <w:t>and Wagon Mound No.1</w:t>
      </w:r>
      <w:r w:rsidRPr="00252E98">
        <w:rPr>
          <w:rFonts w:ascii="Arial" w:eastAsia="Helvetica Neue" w:hAnsi="Arial" w:cs="Arial"/>
          <w:sz w:val="24"/>
          <w:szCs w:val="24"/>
          <w:shd w:val="clear" w:color="auto" w:fill="FFFFFF"/>
          <w:vertAlign w:val="superscript"/>
        </w:rPr>
        <w:footnoteReference w:id="12"/>
      </w:r>
      <w:r w:rsidRPr="00252E98">
        <w:rPr>
          <w:rFonts w:ascii="Arial" w:hAnsi="Arial" w:cs="Arial"/>
          <w:sz w:val="24"/>
          <w:szCs w:val="24"/>
          <w:shd w:val="clear" w:color="auto" w:fill="FFFFFF"/>
        </w:rPr>
        <w:t>,</w:t>
      </w:r>
      <w:r w:rsidRPr="00252E98">
        <w:rPr>
          <w:rFonts w:ascii="Arial" w:hAnsi="Arial" w:cs="Arial"/>
          <w:sz w:val="24"/>
          <w:szCs w:val="24"/>
          <w:shd w:val="clear" w:color="auto" w:fill="FFFFFF"/>
        </w:rPr>
        <w:t xml:space="preserve"> </w:t>
      </w:r>
      <w:r w:rsidRPr="00252E98">
        <w:rPr>
          <w:rFonts w:ascii="Arial" w:hAnsi="Arial" w:cs="Arial"/>
          <w:sz w:val="24"/>
          <w:szCs w:val="24"/>
          <w:shd w:val="clear" w:color="auto" w:fill="FFFFFF"/>
        </w:rPr>
        <w:t>Emily is unlikely to have substantial grounds to claim for loss due to remoteness and foreseeability.</w:t>
      </w:r>
    </w:p>
    <w:p w14:paraId="1DE1DF60" w14:textId="77777777" w:rsidR="00395884" w:rsidRPr="00252E98" w:rsidRDefault="00395884">
      <w:pPr>
        <w:pStyle w:val="Body"/>
        <w:rPr>
          <w:rFonts w:ascii="Arial" w:hAnsi="Arial" w:cs="Arial"/>
          <w:sz w:val="24"/>
          <w:szCs w:val="24"/>
          <w:shd w:val="clear" w:color="auto" w:fill="FFFFFF"/>
        </w:rPr>
      </w:pPr>
    </w:p>
    <w:p w14:paraId="7D431F44" w14:textId="77777777" w:rsidR="00395884" w:rsidRPr="00252E98" w:rsidRDefault="00A464ED">
      <w:pPr>
        <w:pStyle w:val="Default"/>
        <w:spacing w:line="280" w:lineRule="atLeast"/>
        <w:rPr>
          <w:rFonts w:ascii="Arial" w:eastAsia="Times" w:hAnsi="Arial" w:cs="Arial"/>
          <w:b/>
          <w:bCs/>
          <w:sz w:val="24"/>
          <w:szCs w:val="24"/>
          <w:u w:val="single"/>
          <w:shd w:val="clear" w:color="auto" w:fill="FFFFFF"/>
        </w:rPr>
      </w:pPr>
      <w:proofErr w:type="spellStart"/>
      <w:r w:rsidRPr="00252E98">
        <w:rPr>
          <w:rFonts w:ascii="Arial" w:hAnsi="Arial" w:cs="Arial"/>
          <w:b/>
          <w:bCs/>
          <w:sz w:val="24"/>
          <w:szCs w:val="24"/>
          <w:u w:val="single"/>
          <w:shd w:val="clear" w:color="auto" w:fill="FFFFFF"/>
          <w:lang w:val="it-IT"/>
        </w:rPr>
        <w:t>Conclusion</w:t>
      </w:r>
      <w:proofErr w:type="spellEnd"/>
    </w:p>
    <w:p w14:paraId="13137927" w14:textId="77777777" w:rsidR="00395884" w:rsidRPr="00252E98" w:rsidRDefault="00A464ED">
      <w:pPr>
        <w:pStyle w:val="Body"/>
        <w:rPr>
          <w:rFonts w:ascii="Arial" w:hAnsi="Arial" w:cs="Arial"/>
          <w:sz w:val="24"/>
          <w:szCs w:val="24"/>
        </w:rPr>
      </w:pPr>
      <w:r w:rsidRPr="00252E98">
        <w:rPr>
          <w:rFonts w:ascii="Arial" w:hAnsi="Arial" w:cs="Arial"/>
          <w:sz w:val="24"/>
          <w:szCs w:val="24"/>
          <w:shd w:val="clear" w:color="auto" w:fill="FFFFFF"/>
        </w:rPr>
        <w:t xml:space="preserve">Emily does not have a strong basis to bring an action of negligent misstatement against Abbie. This is </w:t>
      </w:r>
      <w:r w:rsidRPr="00252E98">
        <w:rPr>
          <w:rFonts w:ascii="Arial" w:hAnsi="Arial" w:cs="Arial"/>
          <w:sz w:val="24"/>
          <w:szCs w:val="24"/>
          <w:shd w:val="clear" w:color="auto" w:fill="FFFFFF"/>
        </w:rPr>
        <w:t>because she would be unable to establish a duty of care between herself and Abbie, of which would be required to prove a breach in duty. Additionally, it would be difficult to prove that relying on Abbie’s statement directly caused her economic loss.</w:t>
      </w:r>
    </w:p>
    <w:sectPr w:rsidR="00395884" w:rsidRPr="00252E98">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2C465" w14:textId="77777777" w:rsidR="00A464ED" w:rsidRDefault="00A464ED">
      <w:r>
        <w:separator/>
      </w:r>
    </w:p>
  </w:endnote>
  <w:endnote w:type="continuationSeparator" w:id="0">
    <w:p w14:paraId="709AA831" w14:textId="77777777" w:rsidR="00A464ED" w:rsidRDefault="00A4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9122B" w14:textId="77777777" w:rsidR="00DA60C5" w:rsidRDefault="00DA60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01B96" w14:textId="77777777" w:rsidR="00395884" w:rsidRDefault="0039588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0AAD6" w14:textId="77777777" w:rsidR="00DA60C5" w:rsidRDefault="00DA6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37EF5" w14:textId="77777777" w:rsidR="00A464ED" w:rsidRDefault="00A464ED">
      <w:r>
        <w:separator/>
      </w:r>
    </w:p>
  </w:footnote>
  <w:footnote w:type="continuationSeparator" w:id="0">
    <w:p w14:paraId="4CC42FE5" w14:textId="77777777" w:rsidR="00A464ED" w:rsidRDefault="00A464ED">
      <w:r>
        <w:continuationSeparator/>
      </w:r>
    </w:p>
  </w:footnote>
  <w:footnote w:type="continuationNotice" w:id="1">
    <w:p w14:paraId="2973E8E6" w14:textId="77777777" w:rsidR="00A464ED" w:rsidRDefault="00A464ED"/>
  </w:footnote>
  <w:footnote w:id="2">
    <w:p w14:paraId="3E01760C" w14:textId="77777777" w:rsidR="00395884" w:rsidRDefault="00A464ED">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James &amp; Wells </w:t>
      </w:r>
      <w:r>
        <w:rPr>
          <w:rFonts w:eastAsia="Arial Unicode MS" w:cs="Arial Unicode MS"/>
          <w:lang w:val="en-US"/>
        </w:rPr>
        <w:t>“</w:t>
      </w:r>
      <w:r>
        <w:rPr>
          <w:rFonts w:eastAsia="Arial Unicode MS" w:cs="Arial Unicode MS"/>
          <w:lang w:val="de-DE"/>
        </w:rPr>
        <w:t>Patent FAQs</w:t>
      </w:r>
      <w:r>
        <w:rPr>
          <w:rFonts w:eastAsia="Arial Unicode MS" w:cs="Arial Unicode MS"/>
          <w:lang w:val="en-US"/>
        </w:rPr>
        <w:t xml:space="preserve">” </w:t>
      </w:r>
      <w:r>
        <w:rPr>
          <w:rFonts w:eastAsia="Arial Unicode MS" w:cs="Arial Unicode MS"/>
          <w:lang w:val="en-US"/>
        </w:rPr>
        <w:t>(2019) &lt;</w:t>
      </w:r>
      <w:hyperlink r:id="rId1" w:history="1">
        <w:r>
          <w:rPr>
            <w:rStyle w:val="Hyperlink0"/>
            <w:rFonts w:eastAsia="Arial Unicode MS" w:cs="Arial Unicode MS"/>
            <w:lang w:val="en-US"/>
          </w:rPr>
          <w:t>http://www.jamesandwells.com/resource/patent-faqs/</w:t>
        </w:r>
      </w:hyperlink>
      <w:r>
        <w:rPr>
          <w:rFonts w:eastAsia="Arial Unicode MS" w:cs="Arial Unicode MS"/>
          <w:lang w:val="en-US"/>
        </w:rPr>
        <w:t>&gt;</w:t>
      </w:r>
    </w:p>
  </w:footnote>
  <w:footnote w:id="3">
    <w:p w14:paraId="591A84B9" w14:textId="77777777" w:rsidR="00395884" w:rsidRDefault="00A464ED">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Ministry of Business, Innovation and Employment </w:t>
      </w:r>
      <w:r>
        <w:rPr>
          <w:rFonts w:eastAsia="Arial Unicode MS" w:cs="Arial Unicode MS"/>
          <w:lang w:val="en-US"/>
        </w:rPr>
        <w:t>“</w:t>
      </w:r>
      <w:proofErr w:type="spellStart"/>
      <w:r>
        <w:rPr>
          <w:rFonts w:eastAsia="Arial Unicode MS" w:cs="Arial Unicode MS"/>
          <w:lang w:val="en-US"/>
        </w:rPr>
        <w:t>Trade marks</w:t>
      </w:r>
      <w:proofErr w:type="spellEnd"/>
      <w:r>
        <w:rPr>
          <w:rFonts w:eastAsia="Arial Unicode MS" w:cs="Arial Unicode MS"/>
          <w:lang w:val="en-US"/>
        </w:rPr>
        <w:t xml:space="preserve">” </w:t>
      </w:r>
      <w:r>
        <w:rPr>
          <w:rFonts w:eastAsia="Arial Unicode MS" w:cs="Arial Unicode MS"/>
          <w:lang w:val="en-US"/>
        </w:rPr>
        <w:t>&lt;</w:t>
      </w:r>
      <w:hyperlink r:id="rId2" w:history="1">
        <w:r>
          <w:rPr>
            <w:rStyle w:val="Hyperlink0"/>
            <w:rFonts w:eastAsia="Arial Unicode MS" w:cs="Arial Unicode MS"/>
            <w:lang w:val="en-US"/>
          </w:rPr>
          <w:t>https://www.iponz.govt.nz/about-ip/trade-marks</w:t>
        </w:r>
      </w:hyperlink>
      <w:r>
        <w:rPr>
          <w:rFonts w:eastAsia="Arial Unicode MS" w:cs="Arial Unicode MS"/>
          <w:lang w:val="en-US"/>
        </w:rPr>
        <w:t>&gt;</w:t>
      </w:r>
    </w:p>
  </w:footnote>
  <w:footnote w:id="4">
    <w:p w14:paraId="6962894B" w14:textId="77777777" w:rsidR="00395884" w:rsidRDefault="00A464ED">
      <w:pPr>
        <w:pStyle w:val="Footnote"/>
      </w:pPr>
      <w:r>
        <w:rPr>
          <w:vertAlign w:val="superscript"/>
        </w:rPr>
        <w:footnoteRef/>
      </w:r>
      <w:r>
        <w:rPr>
          <w:rFonts w:eastAsia="Arial Unicode MS" w:cs="Arial Unicode MS"/>
        </w:rPr>
        <w:t xml:space="preserve"> </w:t>
      </w:r>
      <w:r>
        <w:rPr>
          <w:rFonts w:eastAsia="Arial Unicode MS" w:cs="Arial Unicode MS"/>
          <w:i/>
          <w:iCs/>
          <w:lang w:val="en-US"/>
        </w:rPr>
        <w:t xml:space="preserve">Hedley Byrne Co Ltd v Heller &amp; </w:t>
      </w:r>
      <w:r>
        <w:rPr>
          <w:rFonts w:eastAsia="Arial Unicode MS" w:cs="Arial Unicode MS"/>
          <w:i/>
          <w:iCs/>
          <w:shd w:val="clear" w:color="auto" w:fill="FFFFFF"/>
          <w:lang w:val="de-DE"/>
        </w:rPr>
        <w:t>Partners LTD</w:t>
      </w:r>
      <w:r>
        <w:rPr>
          <w:rFonts w:eastAsia="Arial Unicode MS" w:cs="Arial Unicode MS"/>
          <w:lang w:val="pt-PT"/>
        </w:rPr>
        <w:t xml:space="preserve"> [1964] AC 465</w:t>
      </w:r>
    </w:p>
  </w:footnote>
  <w:footnote w:id="5">
    <w:p w14:paraId="0439E528" w14:textId="77777777" w:rsidR="00395884" w:rsidRDefault="00A464ED">
      <w:pPr>
        <w:pStyle w:val="Footnote"/>
      </w:pPr>
      <w:r>
        <w:rPr>
          <w:vertAlign w:val="superscript"/>
        </w:rPr>
        <w:footnoteRef/>
      </w:r>
      <w:r>
        <w:rPr>
          <w:rFonts w:eastAsia="Arial Unicode MS" w:cs="Arial Unicode MS"/>
        </w:rPr>
        <w:t xml:space="preserve"> </w:t>
      </w:r>
      <w:r>
        <w:rPr>
          <w:rFonts w:eastAsia="Arial Unicode MS" w:cs="Arial Unicode MS"/>
          <w:i/>
          <w:iCs/>
          <w:lang w:val="en-US"/>
        </w:rPr>
        <w:t xml:space="preserve">Hedley Byrne Co Ltd v Heller &amp; </w:t>
      </w:r>
      <w:r>
        <w:rPr>
          <w:rFonts w:eastAsia="Arial Unicode MS" w:cs="Arial Unicode MS"/>
          <w:i/>
          <w:iCs/>
          <w:shd w:val="clear" w:color="auto" w:fill="FFFFFF"/>
          <w:lang w:val="en-US"/>
        </w:rPr>
        <w:t xml:space="preserve">Partners LTD, </w:t>
      </w:r>
      <w:r>
        <w:rPr>
          <w:rFonts w:eastAsia="Arial Unicode MS" w:cs="Arial Unicode MS"/>
          <w:shd w:val="clear" w:color="auto" w:fill="FFFFFF"/>
          <w:lang w:val="en-US"/>
        </w:rPr>
        <w:t>above n 1</w:t>
      </w:r>
    </w:p>
  </w:footnote>
  <w:footnote w:id="6">
    <w:p w14:paraId="3C18DA04" w14:textId="77777777" w:rsidR="00395884" w:rsidRDefault="00A464ED">
      <w:pPr>
        <w:pStyle w:val="Footnote"/>
      </w:pPr>
      <w:r>
        <w:rPr>
          <w:vertAlign w:val="superscript"/>
        </w:rPr>
        <w:footnoteRef/>
      </w:r>
      <w:r>
        <w:rPr>
          <w:rFonts w:eastAsia="Arial Unicode MS" w:cs="Arial Unicode MS"/>
        </w:rPr>
        <w:t xml:space="preserve"> </w:t>
      </w:r>
      <w:r>
        <w:rPr>
          <w:rFonts w:eastAsia="Arial Unicode MS" w:cs="Arial Unicode MS"/>
          <w:i/>
          <w:iCs/>
          <w:lang w:val="en-US"/>
        </w:rPr>
        <w:t xml:space="preserve">Hedley Byrne Co Ltd v Heller &amp; </w:t>
      </w:r>
      <w:r>
        <w:rPr>
          <w:rFonts w:eastAsia="Arial Unicode MS" w:cs="Arial Unicode MS"/>
          <w:i/>
          <w:iCs/>
          <w:shd w:val="clear" w:color="auto" w:fill="FFFFFF"/>
          <w:lang w:val="en-US"/>
        </w:rPr>
        <w:t xml:space="preserve">Partners LTD, </w:t>
      </w:r>
      <w:r>
        <w:rPr>
          <w:rFonts w:eastAsia="Arial Unicode MS" w:cs="Arial Unicode MS"/>
          <w:shd w:val="clear" w:color="auto" w:fill="FFFFFF"/>
          <w:lang w:val="en-US"/>
        </w:rPr>
        <w:t>above n 1</w:t>
      </w:r>
    </w:p>
  </w:footnote>
  <w:footnote w:id="7">
    <w:p w14:paraId="2070A4EB" w14:textId="77777777" w:rsidR="00395884" w:rsidRDefault="00A464ED">
      <w:pPr>
        <w:pStyle w:val="Footnote"/>
      </w:pPr>
      <w:r>
        <w:rPr>
          <w:vertAlign w:val="superscript"/>
        </w:rPr>
        <w:footnoteRef/>
      </w:r>
      <w:r>
        <w:rPr>
          <w:rFonts w:eastAsia="Arial Unicode MS" w:cs="Arial Unicode MS"/>
        </w:rPr>
        <w:t xml:space="preserve"> </w:t>
      </w:r>
      <w:r>
        <w:rPr>
          <w:rFonts w:eastAsia="Arial Unicode MS" w:cs="Arial Unicode MS"/>
          <w:i/>
          <w:iCs/>
          <w:shd w:val="clear" w:color="auto" w:fill="FFFFFF"/>
          <w:lang w:val="en-US"/>
        </w:rPr>
        <w:t xml:space="preserve">Wagon Mound No.2 </w:t>
      </w:r>
      <w:r>
        <w:rPr>
          <w:rFonts w:eastAsia="Arial Unicode MS" w:cs="Arial Unicode MS"/>
          <w:shd w:val="clear" w:color="auto" w:fill="FFFFFF"/>
          <w:lang w:val="en-US"/>
        </w:rPr>
        <w:t>[1967] 1 AC617(PC)</w:t>
      </w:r>
    </w:p>
  </w:footnote>
  <w:footnote w:id="8">
    <w:p w14:paraId="1C73A091" w14:textId="77777777" w:rsidR="00395884" w:rsidRDefault="00A464ED">
      <w:pPr>
        <w:pStyle w:val="Footnote"/>
      </w:pPr>
      <w:r>
        <w:rPr>
          <w:vertAlign w:val="superscript"/>
        </w:rPr>
        <w:footnoteRef/>
      </w:r>
      <w:r>
        <w:rPr>
          <w:rFonts w:eastAsia="Arial Unicode MS" w:cs="Arial Unicode MS"/>
        </w:rPr>
        <w:t xml:space="preserve"> </w:t>
      </w:r>
      <w:r>
        <w:rPr>
          <w:rFonts w:eastAsia="Arial Unicode MS" w:cs="Arial Unicode MS"/>
          <w:i/>
          <w:iCs/>
          <w:shd w:val="clear" w:color="auto" w:fill="FFFFFF"/>
          <w:lang w:val="en-US"/>
        </w:rPr>
        <w:t>Wagon Mound No.2,</w:t>
      </w:r>
      <w:r>
        <w:rPr>
          <w:rFonts w:eastAsia="Arial Unicode MS" w:cs="Arial Unicode MS"/>
          <w:shd w:val="clear" w:color="auto" w:fill="FFFFFF"/>
          <w:lang w:val="en-US"/>
        </w:rPr>
        <w:t xml:space="preserve"> above n 4</w:t>
      </w:r>
    </w:p>
  </w:footnote>
  <w:footnote w:id="9">
    <w:p w14:paraId="1AE3A24F" w14:textId="77777777" w:rsidR="00395884" w:rsidRDefault="00A464ED">
      <w:pPr>
        <w:pStyle w:val="Footnote"/>
      </w:pPr>
      <w:r>
        <w:rPr>
          <w:vertAlign w:val="superscript"/>
        </w:rPr>
        <w:footnoteRef/>
      </w:r>
      <w:r>
        <w:rPr>
          <w:rFonts w:eastAsia="Arial Unicode MS" w:cs="Arial Unicode MS"/>
        </w:rPr>
        <w:t xml:space="preserve"> </w:t>
      </w:r>
      <w:r>
        <w:rPr>
          <w:rFonts w:eastAsia="Arial Unicode MS" w:cs="Arial Unicode MS"/>
          <w:i/>
          <w:iCs/>
          <w:shd w:val="clear" w:color="auto" w:fill="FFFFFF"/>
          <w:lang w:val="en-US"/>
        </w:rPr>
        <w:t xml:space="preserve">Macfarlane v </w:t>
      </w:r>
      <w:proofErr w:type="spellStart"/>
      <w:r>
        <w:rPr>
          <w:rFonts w:eastAsia="Arial Unicode MS" w:cs="Arial Unicode MS"/>
          <w:i/>
          <w:iCs/>
          <w:shd w:val="clear" w:color="auto" w:fill="FFFFFF"/>
          <w:lang w:val="en-US"/>
        </w:rPr>
        <w:t>Tayside</w:t>
      </w:r>
      <w:proofErr w:type="spellEnd"/>
      <w:r>
        <w:rPr>
          <w:rFonts w:eastAsia="Arial Unicode MS" w:cs="Arial Unicode MS"/>
          <w:shd w:val="clear" w:color="auto" w:fill="FFFFFF"/>
          <w:lang w:val="en-US"/>
        </w:rPr>
        <w:t xml:space="preserve"> [2000] 2 AC 59 (HL)</w:t>
      </w:r>
    </w:p>
  </w:footnote>
  <w:footnote w:id="10">
    <w:p w14:paraId="29D67D0E" w14:textId="77777777" w:rsidR="00395884" w:rsidRDefault="00A464ED">
      <w:pPr>
        <w:pStyle w:val="Footnote"/>
      </w:pPr>
      <w:r>
        <w:rPr>
          <w:vertAlign w:val="superscript"/>
        </w:rPr>
        <w:footnoteRef/>
      </w:r>
      <w:r>
        <w:rPr>
          <w:rFonts w:eastAsia="Arial Unicode MS" w:cs="Arial Unicode MS"/>
        </w:rPr>
        <w:t xml:space="preserve"> </w:t>
      </w:r>
      <w:r>
        <w:rPr>
          <w:rFonts w:eastAsia="Arial Unicode MS" w:cs="Arial Unicode MS"/>
          <w:i/>
          <w:iCs/>
          <w:shd w:val="clear" w:color="auto" w:fill="FFFFFF"/>
          <w:lang w:val="en-US"/>
        </w:rPr>
        <w:t>Wagon Mound No.1</w:t>
      </w:r>
      <w:r>
        <w:rPr>
          <w:rFonts w:eastAsia="Arial Unicode MS" w:cs="Arial Unicode MS"/>
          <w:shd w:val="clear" w:color="auto" w:fill="FFFFFF"/>
          <w:lang w:val="en-US"/>
        </w:rPr>
        <w:t xml:space="preserve"> [1961] AC 388 </w:t>
      </w:r>
      <w:r>
        <w:rPr>
          <w:rFonts w:eastAsia="Arial Unicode MS" w:cs="Arial Unicode MS"/>
          <w:shd w:val="clear" w:color="auto" w:fill="FFFFFF"/>
          <w:lang w:val="en-US"/>
        </w:rPr>
        <w:t>(PC)</w:t>
      </w:r>
    </w:p>
  </w:footnote>
  <w:footnote w:id="11">
    <w:p w14:paraId="24883916" w14:textId="77777777" w:rsidR="00395884" w:rsidRDefault="00A464ED">
      <w:pPr>
        <w:pStyle w:val="Footnote"/>
      </w:pPr>
      <w:r>
        <w:rPr>
          <w:vertAlign w:val="superscript"/>
        </w:rPr>
        <w:footnoteRef/>
      </w:r>
      <w:r>
        <w:rPr>
          <w:rFonts w:eastAsia="Arial Unicode MS" w:cs="Arial Unicode MS"/>
        </w:rPr>
        <w:t xml:space="preserve"> </w:t>
      </w:r>
      <w:r>
        <w:rPr>
          <w:rFonts w:eastAsia="Arial Unicode MS" w:cs="Arial Unicode MS"/>
          <w:i/>
          <w:iCs/>
          <w:shd w:val="clear" w:color="auto" w:fill="FFFFFF"/>
          <w:lang w:val="en-US"/>
        </w:rPr>
        <w:t xml:space="preserve">Macfarlane v </w:t>
      </w:r>
      <w:proofErr w:type="spellStart"/>
      <w:r>
        <w:rPr>
          <w:rFonts w:eastAsia="Arial Unicode MS" w:cs="Arial Unicode MS"/>
          <w:i/>
          <w:iCs/>
          <w:shd w:val="clear" w:color="auto" w:fill="FFFFFF"/>
          <w:lang w:val="en-US"/>
        </w:rPr>
        <w:t>Tayside</w:t>
      </w:r>
      <w:proofErr w:type="spellEnd"/>
      <w:r>
        <w:rPr>
          <w:rFonts w:eastAsia="Arial Unicode MS" w:cs="Arial Unicode MS"/>
          <w:i/>
          <w:iCs/>
          <w:shd w:val="clear" w:color="auto" w:fill="FFFFFF"/>
          <w:lang w:val="en-US"/>
        </w:rPr>
        <w:t xml:space="preserve">, </w:t>
      </w:r>
      <w:r>
        <w:rPr>
          <w:rFonts w:eastAsia="Arial Unicode MS" w:cs="Arial Unicode MS"/>
          <w:shd w:val="clear" w:color="auto" w:fill="FFFFFF"/>
          <w:lang w:val="en-US"/>
        </w:rPr>
        <w:t>above n 6</w:t>
      </w:r>
    </w:p>
  </w:footnote>
  <w:footnote w:id="12">
    <w:p w14:paraId="1902C0E9" w14:textId="77777777" w:rsidR="00395884" w:rsidRDefault="00A464ED">
      <w:pPr>
        <w:pStyle w:val="Footnote"/>
      </w:pPr>
      <w:r>
        <w:rPr>
          <w:vertAlign w:val="superscript"/>
        </w:rPr>
        <w:footnoteRef/>
      </w:r>
      <w:r>
        <w:rPr>
          <w:rFonts w:eastAsia="Arial Unicode MS" w:cs="Arial Unicode MS"/>
        </w:rPr>
        <w:t xml:space="preserve"> </w:t>
      </w:r>
      <w:r>
        <w:rPr>
          <w:rFonts w:eastAsia="Arial Unicode MS" w:cs="Arial Unicode MS"/>
          <w:i/>
          <w:iCs/>
          <w:shd w:val="clear" w:color="auto" w:fill="FFFFFF"/>
          <w:lang w:val="en-US"/>
        </w:rPr>
        <w:t xml:space="preserve">Wagon Mound No.1, </w:t>
      </w:r>
      <w:r>
        <w:rPr>
          <w:rFonts w:eastAsia="Arial Unicode MS" w:cs="Arial Unicode MS"/>
          <w:shd w:val="clear" w:color="auto" w:fill="FFFFFF"/>
          <w:lang w:val="en-US"/>
        </w:rPr>
        <w:t>above n 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F611A" w14:textId="77777777" w:rsidR="00DA60C5" w:rsidRDefault="00DA60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C3649" w14:textId="77777777" w:rsidR="00395884" w:rsidRDefault="0039588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0004F" w14:textId="77777777" w:rsidR="00DA60C5" w:rsidRDefault="00DA60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884"/>
    <w:rsid w:val="00252E98"/>
    <w:rsid w:val="00395884"/>
    <w:rsid w:val="00A464ED"/>
    <w:rsid w:val="00DA60C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C839A"/>
  <w15:docId w15:val="{1266D734-E57B-354F-A4D6-0B37EF54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NZ"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rPr>
  </w:style>
  <w:style w:type="paragraph" w:customStyle="1" w:styleId="Footnote">
    <w:name w:val="Footnote"/>
    <w:rPr>
      <w:rFonts w:ascii="Helvetica Neue" w:eastAsia="Helvetica Neue" w:hAnsi="Helvetica Neue" w:cs="Helvetica Neue"/>
      <w:color w:val="000000"/>
      <w:sz w:val="22"/>
      <w:szCs w:val="22"/>
    </w:rPr>
  </w:style>
  <w:style w:type="character" w:customStyle="1" w:styleId="Hyperlink0">
    <w:name w:val="Hyperlink.0"/>
    <w:basedOn w:val="Hyperlink"/>
    <w:rPr>
      <w:u w:val="single"/>
    </w:rPr>
  </w:style>
  <w:style w:type="paragraph" w:customStyle="1" w:styleId="Default">
    <w:name w:val="Default"/>
    <w:rPr>
      <w:rFonts w:ascii="Helvetica Neue" w:hAnsi="Helvetica Neue" w:cs="Arial Unicode MS"/>
      <w:color w:val="000000"/>
      <w:sz w:val="22"/>
      <w:szCs w:val="22"/>
      <w:lang w:val="pt-PT"/>
    </w:rPr>
  </w:style>
  <w:style w:type="paragraph" w:styleId="Header">
    <w:name w:val="header"/>
    <w:basedOn w:val="Normal"/>
    <w:link w:val="HeaderChar"/>
    <w:uiPriority w:val="99"/>
    <w:unhideWhenUsed/>
    <w:rsid w:val="00DA60C5"/>
    <w:pPr>
      <w:tabs>
        <w:tab w:val="center" w:pos="4680"/>
        <w:tab w:val="right" w:pos="9360"/>
      </w:tabs>
    </w:pPr>
  </w:style>
  <w:style w:type="character" w:customStyle="1" w:styleId="HeaderChar">
    <w:name w:val="Header Char"/>
    <w:basedOn w:val="DefaultParagraphFont"/>
    <w:link w:val="Header"/>
    <w:uiPriority w:val="99"/>
    <w:rsid w:val="00DA60C5"/>
    <w:rPr>
      <w:sz w:val="24"/>
      <w:szCs w:val="24"/>
      <w:lang w:val="en-US" w:eastAsia="en-US"/>
    </w:rPr>
  </w:style>
  <w:style w:type="paragraph" w:styleId="Footer">
    <w:name w:val="footer"/>
    <w:basedOn w:val="Normal"/>
    <w:link w:val="FooterChar"/>
    <w:uiPriority w:val="99"/>
    <w:unhideWhenUsed/>
    <w:rsid w:val="00DA60C5"/>
    <w:pPr>
      <w:tabs>
        <w:tab w:val="center" w:pos="4680"/>
        <w:tab w:val="right" w:pos="9360"/>
      </w:tabs>
    </w:pPr>
  </w:style>
  <w:style w:type="character" w:customStyle="1" w:styleId="FooterChar">
    <w:name w:val="Footer Char"/>
    <w:basedOn w:val="DefaultParagraphFont"/>
    <w:link w:val="Footer"/>
    <w:uiPriority w:val="99"/>
    <w:rsid w:val="00DA60C5"/>
    <w:rPr>
      <w:sz w:val="24"/>
      <w:szCs w:val="24"/>
      <w:lang w:val="en-US" w:eastAsia="en-US"/>
    </w:rPr>
  </w:style>
  <w:style w:type="paragraph" w:styleId="FootnoteText">
    <w:name w:val="footnote text"/>
    <w:basedOn w:val="Normal"/>
    <w:link w:val="FootnoteTextChar"/>
    <w:uiPriority w:val="99"/>
    <w:semiHidden/>
    <w:unhideWhenUsed/>
    <w:rsid w:val="00DA60C5"/>
    <w:rPr>
      <w:sz w:val="20"/>
      <w:szCs w:val="20"/>
    </w:rPr>
  </w:style>
  <w:style w:type="character" w:customStyle="1" w:styleId="FootnoteTextChar">
    <w:name w:val="Footnote Text Char"/>
    <w:basedOn w:val="DefaultParagraphFont"/>
    <w:link w:val="FootnoteText"/>
    <w:uiPriority w:val="99"/>
    <w:semiHidden/>
    <w:rsid w:val="00DA60C5"/>
    <w:rPr>
      <w:lang w:val="en-US" w:eastAsia="en-US"/>
    </w:rPr>
  </w:style>
  <w:style w:type="character" w:styleId="FootnoteReference">
    <w:name w:val="footnote reference"/>
    <w:basedOn w:val="DefaultParagraphFont"/>
    <w:uiPriority w:val="99"/>
    <w:semiHidden/>
    <w:unhideWhenUsed/>
    <w:rsid w:val="00DA60C5"/>
    <w:rPr>
      <w:vertAlign w:val="superscript"/>
    </w:rPr>
  </w:style>
  <w:style w:type="paragraph" w:styleId="EndnoteText">
    <w:name w:val="endnote text"/>
    <w:basedOn w:val="Normal"/>
    <w:link w:val="EndnoteTextChar"/>
    <w:uiPriority w:val="99"/>
    <w:semiHidden/>
    <w:unhideWhenUsed/>
    <w:rsid w:val="00DA60C5"/>
    <w:rPr>
      <w:sz w:val="20"/>
      <w:szCs w:val="20"/>
    </w:rPr>
  </w:style>
  <w:style w:type="character" w:customStyle="1" w:styleId="EndnoteTextChar">
    <w:name w:val="Endnote Text Char"/>
    <w:basedOn w:val="DefaultParagraphFont"/>
    <w:link w:val="EndnoteText"/>
    <w:uiPriority w:val="99"/>
    <w:semiHidden/>
    <w:rsid w:val="00DA60C5"/>
    <w:rPr>
      <w:lang w:val="en-US" w:eastAsia="en-US"/>
    </w:rPr>
  </w:style>
  <w:style w:type="character" w:styleId="EndnoteReference">
    <w:name w:val="endnote reference"/>
    <w:basedOn w:val="DefaultParagraphFont"/>
    <w:uiPriority w:val="99"/>
    <w:semiHidden/>
    <w:unhideWhenUsed/>
    <w:rsid w:val="00DA60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699890">
      <w:bodyDiv w:val="1"/>
      <w:marLeft w:val="0"/>
      <w:marRight w:val="0"/>
      <w:marTop w:val="0"/>
      <w:marBottom w:val="0"/>
      <w:divBdr>
        <w:top w:val="none" w:sz="0" w:space="0" w:color="auto"/>
        <w:left w:val="none" w:sz="0" w:space="0" w:color="auto"/>
        <w:bottom w:val="none" w:sz="0" w:space="0" w:color="auto"/>
        <w:right w:val="none" w:sz="0" w:space="0" w:color="auto"/>
      </w:divBdr>
    </w:div>
    <w:div w:id="411703101">
      <w:bodyDiv w:val="1"/>
      <w:marLeft w:val="0"/>
      <w:marRight w:val="0"/>
      <w:marTop w:val="0"/>
      <w:marBottom w:val="0"/>
      <w:divBdr>
        <w:top w:val="none" w:sz="0" w:space="0" w:color="auto"/>
        <w:left w:val="none" w:sz="0" w:space="0" w:color="auto"/>
        <w:bottom w:val="none" w:sz="0" w:space="0" w:color="auto"/>
        <w:right w:val="none" w:sz="0" w:space="0" w:color="auto"/>
      </w:divBdr>
    </w:div>
    <w:div w:id="602341426">
      <w:bodyDiv w:val="1"/>
      <w:marLeft w:val="0"/>
      <w:marRight w:val="0"/>
      <w:marTop w:val="0"/>
      <w:marBottom w:val="0"/>
      <w:divBdr>
        <w:top w:val="none" w:sz="0" w:space="0" w:color="auto"/>
        <w:left w:val="none" w:sz="0" w:space="0" w:color="auto"/>
        <w:bottom w:val="none" w:sz="0" w:space="0" w:color="auto"/>
        <w:right w:val="none" w:sz="0" w:space="0" w:color="auto"/>
      </w:divBdr>
    </w:div>
    <w:div w:id="1104347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iponz.govt.nz/about-ip/trade-marks" TargetMode="External"/><Relationship Id="rId1" Type="http://schemas.openxmlformats.org/officeDocument/2006/relationships/hyperlink" Target="http://www.jamesandwells.com/resource/patent-faqs/"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4BB83-84CD-BB4A-8331-D77AB1A12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Kamonchanok Suban Na Ayudtaya</cp:lastModifiedBy>
  <cp:revision>2</cp:revision>
  <dcterms:created xsi:type="dcterms:W3CDTF">2020-05-19T10:29:00Z</dcterms:created>
  <dcterms:modified xsi:type="dcterms:W3CDTF">2020-05-19T10:50:00Z</dcterms:modified>
</cp:coreProperties>
</file>