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BAAA4" w14:textId="77777777" w:rsidR="004E7B3F" w:rsidRPr="00D81340" w:rsidRDefault="004E7B3F" w:rsidP="004E7B3F">
      <w:pPr>
        <w:rPr>
          <w:szCs w:val="24"/>
        </w:rPr>
      </w:pPr>
      <w:r w:rsidRPr="00D81340">
        <w:rPr>
          <w:noProof/>
        </w:rPr>
        <w:drawing>
          <wp:inline distT="0" distB="0" distL="0" distR="0" wp14:anchorId="05656F8F" wp14:editId="1F758510">
            <wp:extent cx="5426075" cy="184086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075" cy="1840865"/>
                    </a:xfrm>
                    <a:prstGeom prst="rect">
                      <a:avLst/>
                    </a:prstGeom>
                    <a:noFill/>
                  </pic:spPr>
                </pic:pic>
              </a:graphicData>
            </a:graphic>
          </wp:inline>
        </w:drawing>
      </w:r>
    </w:p>
    <w:p w14:paraId="661DF545" w14:textId="77777777" w:rsidR="004E7B3F" w:rsidRPr="00D81340" w:rsidRDefault="004E7B3F" w:rsidP="004E7B3F">
      <w:pPr>
        <w:jc w:val="center"/>
        <w:outlineLvl w:val="0"/>
        <w:rPr>
          <w:sz w:val="32"/>
        </w:rPr>
      </w:pPr>
      <w:r w:rsidRPr="00D81340">
        <w:rPr>
          <w:sz w:val="32"/>
        </w:rPr>
        <w:t>School of Accounting and Commercial Law</w:t>
      </w:r>
    </w:p>
    <w:p w14:paraId="265751E7" w14:textId="77777777" w:rsidR="004E7B3F" w:rsidRPr="00D81340" w:rsidRDefault="004E7B3F" w:rsidP="004E7B3F">
      <w:pPr>
        <w:jc w:val="center"/>
        <w:rPr>
          <w:b/>
          <w:bCs/>
        </w:rPr>
      </w:pPr>
    </w:p>
    <w:p w14:paraId="19868B6F" w14:textId="7EEDD731" w:rsidR="00303A87" w:rsidRPr="00D81340" w:rsidRDefault="004E7B3F" w:rsidP="004E7B3F">
      <w:pPr>
        <w:pStyle w:val="Footer"/>
        <w:jc w:val="center"/>
        <w:rPr>
          <w:b/>
          <w:bCs/>
          <w:sz w:val="40"/>
        </w:rPr>
      </w:pPr>
      <w:r w:rsidRPr="00D81340">
        <w:rPr>
          <w:b/>
          <w:bCs/>
          <w:sz w:val="40"/>
        </w:rPr>
        <w:t>COML 204 The Law of Organisations</w:t>
      </w:r>
    </w:p>
    <w:p w14:paraId="73DF3638" w14:textId="1AFF6E99" w:rsidR="00D81340" w:rsidRPr="00D81340" w:rsidRDefault="00D81340" w:rsidP="004E7B3F">
      <w:pPr>
        <w:pStyle w:val="Footer"/>
        <w:jc w:val="center"/>
        <w:rPr>
          <w:b/>
          <w:bCs/>
          <w:sz w:val="40"/>
        </w:rPr>
      </w:pPr>
      <w:r w:rsidRPr="00D81340">
        <w:rPr>
          <w:b/>
          <w:bCs/>
          <w:sz w:val="40"/>
        </w:rPr>
        <w:t>Trimester Two, 2020</w:t>
      </w:r>
    </w:p>
    <w:p w14:paraId="1AA6E0BE" w14:textId="2449D1A9" w:rsidR="00D81340" w:rsidRPr="00D81340" w:rsidRDefault="00D81340" w:rsidP="004E7B3F">
      <w:pPr>
        <w:pStyle w:val="Footer"/>
        <w:jc w:val="center"/>
      </w:pPr>
    </w:p>
    <w:p w14:paraId="599FDEEA" w14:textId="77777777" w:rsidR="00303A87" w:rsidRPr="00D81340" w:rsidRDefault="00303A87" w:rsidP="00303A87">
      <w:pPr>
        <w:pStyle w:val="Footer"/>
      </w:pPr>
    </w:p>
    <w:p w14:paraId="65379CAF" w14:textId="77777777" w:rsidR="00303A87" w:rsidRPr="00D81340" w:rsidRDefault="00303A87" w:rsidP="00303A87">
      <w:pPr>
        <w:pStyle w:val="Header"/>
        <w:tabs>
          <w:tab w:val="left" w:pos="2835"/>
        </w:tabs>
        <w:ind w:right="-25"/>
        <w:rPr>
          <w:b/>
          <w:bCs/>
        </w:rPr>
      </w:pPr>
    </w:p>
    <w:p w14:paraId="2182D213" w14:textId="6A4295C0" w:rsidR="00303A87" w:rsidRPr="00D81340" w:rsidRDefault="004E7B3F" w:rsidP="00303A87">
      <w:pPr>
        <w:pStyle w:val="Header"/>
        <w:tabs>
          <w:tab w:val="left" w:pos="2835"/>
        </w:tabs>
        <w:spacing w:line="276" w:lineRule="auto"/>
        <w:ind w:right="-25"/>
        <w:rPr>
          <w:b/>
          <w:bCs/>
          <w:u w:val="single"/>
        </w:rPr>
      </w:pPr>
      <w:r w:rsidRPr="00D81340">
        <w:rPr>
          <w:b/>
          <w:bCs/>
          <w:u w:val="single"/>
        </w:rPr>
        <w:t xml:space="preserve">Take Home </w:t>
      </w:r>
      <w:r w:rsidR="00303A87" w:rsidRPr="00D81340">
        <w:rPr>
          <w:b/>
          <w:bCs/>
          <w:u w:val="single"/>
        </w:rPr>
        <w:t>Test Instructions:</w:t>
      </w:r>
    </w:p>
    <w:p w14:paraId="32C1D6FB" w14:textId="77777777" w:rsidR="00303A87" w:rsidRPr="00D81340" w:rsidRDefault="00303A87" w:rsidP="00303A87">
      <w:pPr>
        <w:pStyle w:val="Header"/>
        <w:tabs>
          <w:tab w:val="left" w:pos="2835"/>
        </w:tabs>
        <w:spacing w:line="276" w:lineRule="auto"/>
        <w:ind w:right="-25"/>
      </w:pPr>
    </w:p>
    <w:p w14:paraId="516117E0" w14:textId="5DB65BD6" w:rsidR="00303A87" w:rsidRPr="00D81340" w:rsidRDefault="00303A87" w:rsidP="00303A87">
      <w:pPr>
        <w:pStyle w:val="Header"/>
        <w:numPr>
          <w:ilvl w:val="0"/>
          <w:numId w:val="4"/>
        </w:numPr>
        <w:tabs>
          <w:tab w:val="clear" w:pos="4513"/>
          <w:tab w:val="clear" w:pos="9026"/>
          <w:tab w:val="left" w:pos="2835"/>
          <w:tab w:val="center" w:pos="4153"/>
          <w:tab w:val="right" w:pos="8306"/>
        </w:tabs>
        <w:spacing w:line="276" w:lineRule="auto"/>
        <w:ind w:right="-25"/>
      </w:pPr>
      <w:r w:rsidRPr="00D81340">
        <w:t xml:space="preserve">The test is comprised of </w:t>
      </w:r>
      <w:r w:rsidRPr="00D81340">
        <w:rPr>
          <w:b/>
          <w:bCs/>
        </w:rPr>
        <w:t>T</w:t>
      </w:r>
      <w:r w:rsidR="004E7B3F" w:rsidRPr="00D81340">
        <w:rPr>
          <w:b/>
          <w:bCs/>
        </w:rPr>
        <w:t>hree Questions</w:t>
      </w:r>
      <w:r w:rsidR="004E7B3F" w:rsidRPr="00D81340">
        <w:t>, which total 100 mark</w:t>
      </w:r>
      <w:r w:rsidR="00371C57" w:rsidRPr="00D81340">
        <w:t xml:space="preserve">s. All </w:t>
      </w:r>
      <w:r w:rsidRPr="00D81340">
        <w:t xml:space="preserve">questions are compulsory. </w:t>
      </w:r>
      <w:r w:rsidR="00340A07">
        <w:t>It is worth 30% of your final grade</w:t>
      </w:r>
      <w:r w:rsidR="00B348D4">
        <w:t>.</w:t>
      </w:r>
      <w:r w:rsidRPr="00D81340">
        <w:t xml:space="preserve"> The suggestion word limit </w:t>
      </w:r>
      <w:r w:rsidR="00371C57" w:rsidRPr="00D81340">
        <w:t>for each question is stated at the end of the question</w:t>
      </w:r>
      <w:r w:rsidR="00361EA2" w:rsidRPr="00D81340">
        <w:t xml:space="preserve">, although the stated word limits are a </w:t>
      </w:r>
      <w:r w:rsidRPr="00D81340">
        <w:t>guide only</w:t>
      </w:r>
      <w:r w:rsidR="00361EA2" w:rsidRPr="00D81340">
        <w:t>.</w:t>
      </w:r>
      <w:r w:rsidR="001F424A">
        <w:t xml:space="preserve"> </w:t>
      </w:r>
      <w:r w:rsidR="00C31A98">
        <w:t>It is recommended that Question One and Two be answered as a short essay</w:t>
      </w:r>
      <w:r w:rsidR="00234E6F">
        <w:t xml:space="preserve"> and ILAC structure is used for Question Three.</w:t>
      </w:r>
    </w:p>
    <w:p w14:paraId="14DDCB2A"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left="720" w:right="-25"/>
      </w:pPr>
    </w:p>
    <w:p w14:paraId="1BC7B51F" w14:textId="17810054" w:rsidR="00303A87" w:rsidRPr="00D81340" w:rsidRDefault="00303A87" w:rsidP="00303A87">
      <w:pPr>
        <w:pStyle w:val="Header"/>
        <w:numPr>
          <w:ilvl w:val="0"/>
          <w:numId w:val="4"/>
        </w:numPr>
        <w:tabs>
          <w:tab w:val="clear" w:pos="4513"/>
          <w:tab w:val="clear" w:pos="9026"/>
          <w:tab w:val="left" w:pos="2835"/>
          <w:tab w:val="center" w:pos="4153"/>
          <w:tab w:val="right" w:pos="8306"/>
        </w:tabs>
        <w:spacing w:line="276" w:lineRule="auto"/>
        <w:ind w:right="-25"/>
        <w:rPr>
          <w:bCs/>
        </w:rPr>
      </w:pPr>
      <w:r w:rsidRPr="00D81340">
        <w:rPr>
          <w:b/>
        </w:rPr>
        <w:t xml:space="preserve">Please answer </w:t>
      </w:r>
      <w:r w:rsidR="003B5102" w:rsidRPr="00D81340">
        <w:rPr>
          <w:b/>
        </w:rPr>
        <w:t xml:space="preserve">the three </w:t>
      </w:r>
      <w:r w:rsidR="00361EA2" w:rsidRPr="00D81340">
        <w:rPr>
          <w:b/>
        </w:rPr>
        <w:t>q</w:t>
      </w:r>
      <w:r w:rsidRPr="00D81340">
        <w:rPr>
          <w:b/>
        </w:rPr>
        <w:t xml:space="preserve">uestions in a word document (or similar), </w:t>
      </w:r>
      <w:r w:rsidRPr="00D81340">
        <w:rPr>
          <w:bCs/>
        </w:rPr>
        <w:t xml:space="preserve">with your name on the front page. </w:t>
      </w:r>
      <w:r w:rsidR="00340A07">
        <w:rPr>
          <w:bCs/>
        </w:rPr>
        <w:t>You have 24-hours to complete this test from 6 pm on Monday 21</w:t>
      </w:r>
      <w:r w:rsidR="00340A07" w:rsidRPr="00340A07">
        <w:rPr>
          <w:bCs/>
          <w:vertAlign w:val="superscript"/>
        </w:rPr>
        <w:t>st</w:t>
      </w:r>
      <w:r w:rsidR="00340A07">
        <w:rPr>
          <w:bCs/>
        </w:rPr>
        <w:t xml:space="preserve"> September</w:t>
      </w:r>
      <w:r w:rsidR="00C47ED8">
        <w:rPr>
          <w:bCs/>
        </w:rPr>
        <w:t xml:space="preserve">. You </w:t>
      </w:r>
      <w:r w:rsidRPr="00D81340">
        <w:rPr>
          <w:bCs/>
        </w:rPr>
        <w:t xml:space="preserve">must upload and submit your answer via the Turnitin link in Test/Quiz folder in Blackboard by </w:t>
      </w:r>
      <w:r w:rsidR="00361EA2" w:rsidRPr="00D81340">
        <w:rPr>
          <w:bCs/>
        </w:rPr>
        <w:t>6</w:t>
      </w:r>
      <w:r w:rsidRPr="00D81340">
        <w:rPr>
          <w:bCs/>
        </w:rPr>
        <w:t xml:space="preserve"> pm on </w:t>
      </w:r>
      <w:r w:rsidR="00361EA2" w:rsidRPr="00D81340">
        <w:rPr>
          <w:bCs/>
        </w:rPr>
        <w:t xml:space="preserve">Tuesday </w:t>
      </w:r>
      <w:r w:rsidR="003B5102" w:rsidRPr="00D81340">
        <w:rPr>
          <w:bCs/>
        </w:rPr>
        <w:t>22</w:t>
      </w:r>
      <w:r w:rsidR="003B5102" w:rsidRPr="00D81340">
        <w:rPr>
          <w:bCs/>
          <w:vertAlign w:val="superscript"/>
        </w:rPr>
        <w:t>nd</w:t>
      </w:r>
      <w:r w:rsidR="003B5102" w:rsidRPr="00D81340">
        <w:rPr>
          <w:bCs/>
        </w:rPr>
        <w:t xml:space="preserve"> September 2020.</w:t>
      </w:r>
    </w:p>
    <w:p w14:paraId="577C15D7"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right="-25"/>
      </w:pPr>
    </w:p>
    <w:p w14:paraId="4E5EC00E" w14:textId="77777777" w:rsidR="00303A87" w:rsidRPr="00D81340" w:rsidRDefault="00303A87" w:rsidP="00303A87">
      <w:pPr>
        <w:pStyle w:val="Header"/>
        <w:numPr>
          <w:ilvl w:val="0"/>
          <w:numId w:val="4"/>
        </w:numPr>
        <w:tabs>
          <w:tab w:val="clear" w:pos="4513"/>
          <w:tab w:val="clear" w:pos="9026"/>
          <w:tab w:val="left" w:pos="2835"/>
          <w:tab w:val="center" w:pos="4153"/>
          <w:tab w:val="right" w:pos="8306"/>
        </w:tabs>
        <w:spacing w:line="276" w:lineRule="auto"/>
        <w:ind w:right="-25"/>
      </w:pPr>
      <w:r w:rsidRPr="00D81340">
        <w:t xml:space="preserve">A reminder that when you upload your assignment, you need to click to submit the document and then click to confirm submission. You will receive an automated email confirming submission (sent to your </w:t>
      </w:r>
      <w:proofErr w:type="spellStart"/>
      <w:r w:rsidRPr="00D81340">
        <w:t>myvuw</w:t>
      </w:r>
      <w:proofErr w:type="spellEnd"/>
      <w:r w:rsidRPr="00D81340">
        <w:t xml:space="preserve"> email address).</w:t>
      </w:r>
    </w:p>
    <w:p w14:paraId="23FAC8F5"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left="360" w:right="-25"/>
      </w:pPr>
    </w:p>
    <w:p w14:paraId="66FC19BF" w14:textId="77777777" w:rsidR="00303A87" w:rsidRPr="00D81340" w:rsidRDefault="00303A87" w:rsidP="00303A87">
      <w:pPr>
        <w:pStyle w:val="Header"/>
        <w:numPr>
          <w:ilvl w:val="0"/>
          <w:numId w:val="4"/>
        </w:numPr>
        <w:tabs>
          <w:tab w:val="clear" w:pos="4513"/>
          <w:tab w:val="clear" w:pos="9026"/>
          <w:tab w:val="left" w:pos="2835"/>
          <w:tab w:val="center" w:pos="4153"/>
          <w:tab w:val="right" w:pos="8306"/>
        </w:tabs>
        <w:spacing w:line="276" w:lineRule="auto"/>
        <w:ind w:right="-25"/>
        <w:rPr>
          <w:bCs/>
        </w:rPr>
      </w:pPr>
      <w:r w:rsidRPr="00D81340">
        <w:rPr>
          <w:bCs/>
        </w:rPr>
        <w:t xml:space="preserve">Five percent of the total mark will automatically be deducted if this deadline is missed and a further five percent per day will be deducted for each subsequent day that the test is late. No marks will be awarded to any test submitted after the marking guide has been released or after ten days have elapsed, whichever occurs first. </w:t>
      </w:r>
    </w:p>
    <w:p w14:paraId="70749DCF"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right="-25"/>
        <w:rPr>
          <w:bCs/>
        </w:rPr>
      </w:pPr>
    </w:p>
    <w:p w14:paraId="06D513D3" w14:textId="77777777" w:rsidR="00303A87" w:rsidRPr="00D81340" w:rsidRDefault="00303A87" w:rsidP="00303A87">
      <w:pPr>
        <w:pStyle w:val="Header"/>
        <w:numPr>
          <w:ilvl w:val="0"/>
          <w:numId w:val="4"/>
        </w:numPr>
        <w:tabs>
          <w:tab w:val="clear" w:pos="4513"/>
          <w:tab w:val="clear" w:pos="9026"/>
          <w:tab w:val="left" w:pos="2835"/>
          <w:tab w:val="center" w:pos="4153"/>
          <w:tab w:val="right" w:pos="8306"/>
        </w:tabs>
        <w:spacing w:line="276" w:lineRule="auto"/>
        <w:ind w:right="-25"/>
        <w:rPr>
          <w:bCs/>
        </w:rPr>
      </w:pPr>
      <w:r w:rsidRPr="00D81340">
        <w:rPr>
          <w:bCs/>
        </w:rPr>
        <w:t>As this is a test, it is expected that you will complete it on your own. This means:</w:t>
      </w:r>
    </w:p>
    <w:p w14:paraId="37663CA7" w14:textId="77777777" w:rsidR="00303A87" w:rsidRPr="00D81340" w:rsidRDefault="00303A87" w:rsidP="00303A87">
      <w:pPr>
        <w:pStyle w:val="Header"/>
        <w:tabs>
          <w:tab w:val="left" w:pos="2835"/>
        </w:tabs>
        <w:spacing w:line="276" w:lineRule="auto"/>
        <w:ind w:right="-25"/>
        <w:rPr>
          <w:bCs/>
        </w:rPr>
      </w:pPr>
      <w:r w:rsidRPr="00D81340">
        <w:rPr>
          <w:bCs/>
        </w:rPr>
        <w:tab/>
      </w:r>
    </w:p>
    <w:p w14:paraId="68319294" w14:textId="4A1E9F41" w:rsidR="00303A87" w:rsidRPr="00D81340" w:rsidRDefault="00303A87" w:rsidP="00303A87">
      <w:pPr>
        <w:pStyle w:val="Header"/>
        <w:numPr>
          <w:ilvl w:val="1"/>
          <w:numId w:val="4"/>
        </w:numPr>
        <w:tabs>
          <w:tab w:val="left" w:pos="2835"/>
        </w:tabs>
        <w:spacing w:line="276" w:lineRule="auto"/>
        <w:ind w:right="-25"/>
        <w:rPr>
          <w:bCs/>
        </w:rPr>
      </w:pPr>
      <w:r w:rsidRPr="00D81340">
        <w:rPr>
          <w:bCs/>
        </w:rPr>
        <w:t>No collaboration or consultation with classmates or anyone else.</w:t>
      </w:r>
      <w:r w:rsidR="003B5102" w:rsidRPr="00D81340">
        <w:rPr>
          <w:bCs/>
        </w:rPr>
        <w:t xml:space="preserve"> All answers will be checked for similarity using Turnitin software.</w:t>
      </w:r>
    </w:p>
    <w:p w14:paraId="3D2A8ECB" w14:textId="77777777" w:rsidR="003B5102" w:rsidRPr="00D81340" w:rsidRDefault="003B5102" w:rsidP="003B5102">
      <w:pPr>
        <w:pStyle w:val="Header"/>
        <w:tabs>
          <w:tab w:val="left" w:pos="2835"/>
        </w:tabs>
        <w:spacing w:line="276" w:lineRule="auto"/>
        <w:ind w:left="1440" w:right="-25"/>
        <w:rPr>
          <w:bCs/>
        </w:rPr>
      </w:pPr>
    </w:p>
    <w:p w14:paraId="50D135A5" w14:textId="77777777" w:rsidR="00303A87" w:rsidRPr="00D81340" w:rsidRDefault="00303A87" w:rsidP="00303A87">
      <w:pPr>
        <w:pStyle w:val="Header"/>
        <w:numPr>
          <w:ilvl w:val="1"/>
          <w:numId w:val="4"/>
        </w:numPr>
        <w:tabs>
          <w:tab w:val="left" w:pos="2835"/>
        </w:tabs>
        <w:spacing w:line="276" w:lineRule="auto"/>
        <w:ind w:right="-25"/>
        <w:rPr>
          <w:bCs/>
        </w:rPr>
      </w:pPr>
      <w:r w:rsidRPr="00D81340">
        <w:rPr>
          <w:bCs/>
        </w:rPr>
        <w:lastRenderedPageBreak/>
        <w:t>The tutors and lecturer are not able to answer questions.</w:t>
      </w:r>
    </w:p>
    <w:p w14:paraId="362DB3CE" w14:textId="3BF3EE89" w:rsidR="00303A87" w:rsidRPr="00D81340" w:rsidRDefault="00303A87" w:rsidP="00303A87">
      <w:pPr>
        <w:pStyle w:val="Header"/>
        <w:numPr>
          <w:ilvl w:val="0"/>
          <w:numId w:val="4"/>
        </w:numPr>
        <w:tabs>
          <w:tab w:val="clear" w:pos="4513"/>
          <w:tab w:val="clear" w:pos="9026"/>
          <w:tab w:val="left" w:pos="2835"/>
          <w:tab w:val="center" w:pos="4153"/>
          <w:tab w:val="right" w:pos="8306"/>
        </w:tabs>
        <w:spacing w:after="160" w:line="259" w:lineRule="auto"/>
        <w:ind w:right="-25"/>
        <w:rPr>
          <w:bCs/>
        </w:rPr>
      </w:pPr>
      <w:r w:rsidRPr="00D81340">
        <w:rPr>
          <w:bCs/>
        </w:rPr>
        <w:t xml:space="preserve">Although this is a take home test rather than a full assignment, it is good to get into the habit of accurate and correct referencing. You may use either Law style footnotes or APA style references in your answer. </w:t>
      </w:r>
    </w:p>
    <w:p w14:paraId="1257AB5F"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left="720" w:right="-25"/>
        <w:rPr>
          <w:bCs/>
        </w:rPr>
      </w:pPr>
    </w:p>
    <w:p w14:paraId="48562491" w14:textId="77777777" w:rsidR="00303A87" w:rsidRPr="00D81340" w:rsidRDefault="00303A87" w:rsidP="00303A87">
      <w:pPr>
        <w:pStyle w:val="Header"/>
        <w:numPr>
          <w:ilvl w:val="0"/>
          <w:numId w:val="4"/>
        </w:numPr>
        <w:tabs>
          <w:tab w:val="left" w:pos="2835"/>
        </w:tabs>
        <w:spacing w:line="276" w:lineRule="auto"/>
        <w:ind w:right="-25"/>
        <w:jc w:val="left"/>
        <w:rPr>
          <w:b/>
          <w:bCs/>
          <w:u w:val="single"/>
        </w:rPr>
      </w:pPr>
      <w:r w:rsidRPr="00D81340">
        <w:rPr>
          <w:b/>
          <w:bCs/>
          <w:u w:val="single"/>
        </w:rPr>
        <w:t>Guide to using Law style footnotes:</w:t>
      </w:r>
    </w:p>
    <w:p w14:paraId="2BC5AC56" w14:textId="77777777" w:rsidR="00303A87" w:rsidRPr="00D81340" w:rsidRDefault="00303A87" w:rsidP="00303A87">
      <w:pPr>
        <w:pStyle w:val="Header"/>
        <w:tabs>
          <w:tab w:val="left" w:pos="2835"/>
        </w:tabs>
        <w:spacing w:line="276" w:lineRule="auto"/>
        <w:ind w:left="720" w:right="-25"/>
        <w:rPr>
          <w:b/>
          <w:u w:val="single"/>
        </w:rPr>
      </w:pPr>
    </w:p>
    <w:p w14:paraId="59713B07" w14:textId="77777777" w:rsidR="00303A87" w:rsidRPr="00D81340" w:rsidRDefault="00303A87" w:rsidP="00AA5FC8">
      <w:pPr>
        <w:pStyle w:val="Header"/>
        <w:tabs>
          <w:tab w:val="left" w:pos="2835"/>
        </w:tabs>
        <w:spacing w:line="276" w:lineRule="auto"/>
        <w:ind w:left="360" w:right="-25"/>
        <w:jc w:val="left"/>
        <w:rPr>
          <w:bCs/>
        </w:rPr>
      </w:pPr>
      <w:r w:rsidRPr="00D81340">
        <w:t xml:space="preserve">Law references tend to be in footnotes. Cases and legislation are primary sources of law. This means your footnote should not state where you located the case/legislation (for example the textbook or a PowerPoint slide). You simply refer to the case/legislation itself. </w:t>
      </w:r>
    </w:p>
    <w:p w14:paraId="67F268F0" w14:textId="77777777" w:rsidR="00303A87" w:rsidRPr="00D81340" w:rsidRDefault="00303A87" w:rsidP="00AA5FC8">
      <w:pPr>
        <w:tabs>
          <w:tab w:val="right" w:pos="8306"/>
        </w:tabs>
        <w:spacing w:line="276" w:lineRule="auto"/>
        <w:ind w:left="360"/>
      </w:pPr>
      <w:r w:rsidRPr="00D81340">
        <w:t>If you quote directly from a book you should also footnote the reference to the book.</w:t>
      </w:r>
    </w:p>
    <w:p w14:paraId="59B0A085" w14:textId="77777777" w:rsidR="00303A87" w:rsidRPr="00D81340" w:rsidRDefault="00303A87" w:rsidP="00AA5FC8">
      <w:pPr>
        <w:pStyle w:val="ListParagraph"/>
        <w:tabs>
          <w:tab w:val="right" w:pos="8306"/>
        </w:tabs>
        <w:spacing w:line="276" w:lineRule="auto"/>
      </w:pPr>
    </w:p>
    <w:p w14:paraId="680AE648" w14:textId="77777777" w:rsidR="00303A87" w:rsidRPr="00D81340" w:rsidRDefault="00303A87" w:rsidP="00AA5FC8">
      <w:pPr>
        <w:tabs>
          <w:tab w:val="right" w:pos="8306"/>
        </w:tabs>
        <w:spacing w:line="276" w:lineRule="auto"/>
        <w:ind w:left="360"/>
      </w:pPr>
      <w:r w:rsidRPr="00D81340">
        <w:t>Here is a short (fictitious) example:</w:t>
      </w:r>
    </w:p>
    <w:p w14:paraId="05313B71" w14:textId="77777777" w:rsidR="00303A87" w:rsidRPr="00D81340" w:rsidRDefault="00303A87" w:rsidP="00AA5FC8">
      <w:pPr>
        <w:pStyle w:val="ListParagraph"/>
        <w:tabs>
          <w:tab w:val="right" w:pos="8306"/>
        </w:tabs>
        <w:spacing w:line="276" w:lineRule="auto"/>
      </w:pPr>
    </w:p>
    <w:p w14:paraId="4CC20503" w14:textId="77777777" w:rsidR="00303A87" w:rsidRPr="00D81340" w:rsidRDefault="00303A87" w:rsidP="00AA5FC8">
      <w:pPr>
        <w:tabs>
          <w:tab w:val="right" w:pos="8306"/>
        </w:tabs>
        <w:spacing w:line="276" w:lineRule="auto"/>
        <w:ind w:left="360"/>
      </w:pPr>
      <w:r w:rsidRPr="00D81340">
        <w:t xml:space="preserve">In </w:t>
      </w:r>
      <w:r w:rsidRPr="00D81340">
        <w:rPr>
          <w:i/>
        </w:rPr>
        <w:t>Black v Brown</w:t>
      </w:r>
      <w:r w:rsidRPr="00D81340">
        <w:rPr>
          <w:rStyle w:val="FootnoteReference"/>
          <w:i/>
        </w:rPr>
        <w:footnoteReference w:id="1"/>
      </w:r>
      <w:r w:rsidRPr="00D81340">
        <w:t xml:space="preserve"> the court ruled that all dogs must be kept on a leash when in public. Mary Smith, a well-known vet, cites the leading UK decision </w:t>
      </w:r>
      <w:r w:rsidRPr="00D81340">
        <w:rPr>
          <w:i/>
        </w:rPr>
        <w:t>Rusty v Lassie</w:t>
      </w:r>
      <w:r w:rsidRPr="00D81340">
        <w:rPr>
          <w:rStyle w:val="FootnoteReference"/>
          <w:i/>
        </w:rPr>
        <w:footnoteReference w:id="2"/>
      </w:r>
      <w:r w:rsidRPr="00D81340">
        <w:t xml:space="preserve"> as authority for her claim that poodles should not be included in the </w:t>
      </w:r>
      <w:r w:rsidRPr="00D81340">
        <w:rPr>
          <w:i/>
        </w:rPr>
        <w:t>Black v Brown</w:t>
      </w:r>
      <w:r w:rsidRPr="00D81340">
        <w:t xml:space="preserve"> ruling. However, in </w:t>
      </w:r>
      <w:r w:rsidRPr="00D81340">
        <w:rPr>
          <w:i/>
        </w:rPr>
        <w:t>Key on Contracts</w:t>
      </w:r>
      <w:r w:rsidRPr="00D81340">
        <w:t xml:space="preserve"> the author </w:t>
      </w:r>
      <w:proofErr w:type="gramStart"/>
      <w:r w:rsidRPr="00D81340">
        <w:t>says</w:t>
      </w:r>
      <w:proofErr w:type="gramEnd"/>
      <w:r w:rsidRPr="00D81340">
        <w:t xml:space="preserve"> “All dogs in New Zealand should be kept on a leash”.</w:t>
      </w:r>
      <w:r w:rsidRPr="00D81340">
        <w:rPr>
          <w:rStyle w:val="FootnoteReference"/>
        </w:rPr>
        <w:footnoteReference w:id="3"/>
      </w:r>
      <w:r w:rsidRPr="00D81340">
        <w:t xml:space="preserve"> The Animal Control Act states all domestic animals should be kept under reasonable control in public.</w:t>
      </w:r>
      <w:r w:rsidRPr="00D81340">
        <w:rPr>
          <w:rStyle w:val="FootnoteReference"/>
        </w:rPr>
        <w:footnoteReference w:id="4"/>
      </w:r>
    </w:p>
    <w:p w14:paraId="4A472F50" w14:textId="77777777" w:rsidR="00303A87" w:rsidRPr="00D81340" w:rsidRDefault="00303A87" w:rsidP="00AA5FC8">
      <w:pPr>
        <w:pStyle w:val="ListParagraph"/>
        <w:tabs>
          <w:tab w:val="right" w:pos="8306"/>
        </w:tabs>
        <w:spacing w:line="276" w:lineRule="auto"/>
      </w:pPr>
    </w:p>
    <w:p w14:paraId="27EEE722" w14:textId="77777777" w:rsidR="00303A87" w:rsidRPr="00D81340" w:rsidRDefault="00303A87" w:rsidP="00AA5FC8">
      <w:pPr>
        <w:tabs>
          <w:tab w:val="right" w:pos="8306"/>
        </w:tabs>
        <w:spacing w:line="276" w:lineRule="auto"/>
        <w:ind w:left="360"/>
      </w:pPr>
      <w:r w:rsidRPr="00D81340">
        <w:rPr>
          <w:u w:val="single"/>
        </w:rPr>
        <w:t>Note:</w:t>
      </w:r>
      <w:r w:rsidRPr="00D81340">
        <w:t xml:space="preserve"> you only need to provide the full citation of a case the first time you mention it.</w:t>
      </w:r>
    </w:p>
    <w:p w14:paraId="1325B961" w14:textId="77777777" w:rsidR="00303A87" w:rsidRPr="00D81340" w:rsidRDefault="00303A87" w:rsidP="00AA5FC8">
      <w:pPr>
        <w:pStyle w:val="ListParagraph"/>
        <w:tabs>
          <w:tab w:val="right" w:pos="8306"/>
        </w:tabs>
        <w:spacing w:line="276" w:lineRule="auto"/>
      </w:pPr>
    </w:p>
    <w:p w14:paraId="2945704B" w14:textId="77777777" w:rsidR="00303A87" w:rsidRPr="00D81340" w:rsidRDefault="00303A87" w:rsidP="00AA5FC8">
      <w:pPr>
        <w:pStyle w:val="ListParagraph"/>
        <w:tabs>
          <w:tab w:val="right" w:pos="8306"/>
        </w:tabs>
        <w:spacing w:line="276" w:lineRule="auto"/>
      </w:pPr>
      <w:r w:rsidRPr="00D81340">
        <w:t xml:space="preserve">If necessary, you can refer to the “New Zealand Law Style Guide” </w:t>
      </w:r>
      <w:hyperlink r:id="rId9" w:history="1">
        <w:r w:rsidRPr="00D81340">
          <w:rPr>
            <w:rStyle w:val="Hyperlink"/>
            <w:rFonts w:eastAsia="Batang"/>
          </w:rPr>
          <w:t>http://www.lawfoundation.org.nz/style-guide/</w:t>
        </w:r>
      </w:hyperlink>
      <w:r w:rsidRPr="00D81340">
        <w:t xml:space="preserve">  for further information. However, the Guide provides </w:t>
      </w:r>
      <w:proofErr w:type="spellStart"/>
      <w:r w:rsidRPr="00D81340">
        <w:t>far</w:t>
      </w:r>
      <w:proofErr w:type="spellEnd"/>
      <w:r w:rsidRPr="00D81340">
        <w:t xml:space="preserve"> more information than you will need for the test. Additional information is also available under the Readings &amp; Library folder in the COML 310 blackboard site. This folder also contains further resources on the APA referencing system.</w:t>
      </w:r>
    </w:p>
    <w:p w14:paraId="67F1AD9B" w14:textId="77777777" w:rsidR="00303A87" w:rsidRPr="00D81340" w:rsidRDefault="00303A87" w:rsidP="00303A87">
      <w:pPr>
        <w:pStyle w:val="ListParagraph"/>
        <w:tabs>
          <w:tab w:val="right" w:pos="8306"/>
        </w:tabs>
        <w:spacing w:line="276" w:lineRule="auto"/>
      </w:pPr>
    </w:p>
    <w:p w14:paraId="3D9E14A3" w14:textId="77777777" w:rsidR="00303A87" w:rsidRPr="00D81340" w:rsidRDefault="00303A87" w:rsidP="00303A87">
      <w:pPr>
        <w:pStyle w:val="ListParagraph"/>
        <w:tabs>
          <w:tab w:val="right" w:pos="8306"/>
        </w:tabs>
      </w:pPr>
    </w:p>
    <w:p w14:paraId="748A7852" w14:textId="77777777" w:rsidR="00303A87" w:rsidRPr="00D81340" w:rsidRDefault="00303A87" w:rsidP="00303A87">
      <w:pPr>
        <w:pStyle w:val="ListParagraph"/>
        <w:tabs>
          <w:tab w:val="right" w:pos="8306"/>
        </w:tabs>
      </w:pPr>
    </w:p>
    <w:p w14:paraId="7F36CA16" w14:textId="77777777" w:rsidR="00303A87" w:rsidRPr="00D81340" w:rsidRDefault="00303A87" w:rsidP="00303A87">
      <w:pPr>
        <w:pStyle w:val="Header"/>
        <w:tabs>
          <w:tab w:val="clear" w:pos="4513"/>
          <w:tab w:val="clear" w:pos="9026"/>
          <w:tab w:val="left" w:pos="2835"/>
          <w:tab w:val="center" w:pos="4153"/>
          <w:tab w:val="right" w:pos="8306"/>
        </w:tabs>
        <w:spacing w:line="276" w:lineRule="auto"/>
        <w:ind w:left="720" w:right="-25"/>
        <w:rPr>
          <w:bCs/>
        </w:rPr>
      </w:pPr>
    </w:p>
    <w:p w14:paraId="04952795" w14:textId="615CFB60" w:rsidR="00400C1B" w:rsidRPr="00400C1B" w:rsidRDefault="00400C1B" w:rsidP="00400C1B">
      <w:pPr>
        <w:autoSpaceDE w:val="0"/>
        <w:autoSpaceDN w:val="0"/>
        <w:adjustRightInd w:val="0"/>
        <w:jc w:val="left"/>
        <w:rPr>
          <w:rFonts w:ascii="AppleSystemUIFont" w:eastAsiaTheme="minorEastAsia" w:hAnsi="AppleSystemUIFont" w:cs="AppleSystemUIFont"/>
          <w:b/>
          <w:bCs/>
          <w:color w:val="353535"/>
          <w:szCs w:val="24"/>
          <w:u w:val="single"/>
          <w:lang w:eastAsia="zh-CN"/>
        </w:rPr>
      </w:pPr>
      <w:r w:rsidRPr="00400C1B">
        <w:rPr>
          <w:rFonts w:ascii="AppleSystemUIFont" w:eastAsiaTheme="minorEastAsia" w:hAnsi="AppleSystemUIFont" w:cs="AppleSystemUIFont"/>
          <w:b/>
          <w:bCs/>
          <w:color w:val="353535"/>
          <w:szCs w:val="24"/>
          <w:u w:val="single"/>
          <w:lang w:eastAsia="zh-CN"/>
        </w:rPr>
        <w:t xml:space="preserve">Name: </w:t>
      </w:r>
      <w:r w:rsidRPr="00400C1B">
        <w:rPr>
          <w:rFonts w:ascii="AppleSystemUIFont" w:eastAsiaTheme="minorEastAsia" w:hAnsi="AppleSystemUIFont" w:cs="AppleSystemUIFont"/>
          <w:b/>
          <w:bCs/>
          <w:color w:val="353535"/>
          <w:szCs w:val="24"/>
          <w:u w:val="single"/>
          <w:lang w:eastAsia="zh-CN"/>
        </w:rPr>
        <w:t xml:space="preserve">Kamonchanok Suban Na Ayudtaya </w:t>
      </w:r>
    </w:p>
    <w:p w14:paraId="73F3A833" w14:textId="14AE3D46" w:rsidR="00303A87" w:rsidRPr="00D81340" w:rsidRDefault="00400C1B" w:rsidP="00400C1B">
      <w:pPr>
        <w:spacing w:after="160" w:line="259" w:lineRule="auto"/>
        <w:rPr>
          <w:bCs/>
        </w:rPr>
      </w:pPr>
      <w:r w:rsidRPr="00400C1B">
        <w:rPr>
          <w:rFonts w:ascii="AppleSystemUIFont" w:eastAsiaTheme="minorEastAsia" w:hAnsi="AppleSystemUIFont" w:cs="AppleSystemUIFont"/>
          <w:b/>
          <w:bCs/>
          <w:color w:val="353535"/>
          <w:szCs w:val="24"/>
          <w:u w:val="single"/>
          <w:lang w:eastAsia="zh-CN"/>
        </w:rPr>
        <w:t xml:space="preserve">ID: </w:t>
      </w:r>
      <w:r w:rsidRPr="00400C1B">
        <w:rPr>
          <w:rFonts w:ascii="AppleSystemUIFont" w:eastAsiaTheme="minorEastAsia" w:hAnsi="AppleSystemUIFont" w:cs="AppleSystemUIFont"/>
          <w:b/>
          <w:bCs/>
          <w:color w:val="353535"/>
          <w:szCs w:val="24"/>
          <w:u w:val="single"/>
          <w:lang w:eastAsia="zh-CN"/>
        </w:rPr>
        <w:t>300471606</w:t>
      </w:r>
      <w:r>
        <w:rPr>
          <w:rFonts w:ascii="AppleSystemUIFont" w:eastAsiaTheme="minorEastAsia" w:hAnsi="AppleSystemUIFont" w:cs="AppleSystemUIFont"/>
          <w:color w:val="353535"/>
          <w:szCs w:val="24"/>
          <w:lang w:eastAsia="zh-CN"/>
        </w:rPr>
        <w:t> </w:t>
      </w:r>
      <w:r w:rsidRPr="00D81340">
        <w:rPr>
          <w:bCs/>
        </w:rPr>
        <w:t xml:space="preserve"> </w:t>
      </w:r>
      <w:r w:rsidR="00303A87" w:rsidRPr="00D81340">
        <w:rPr>
          <w:bCs/>
        </w:rPr>
        <w:br w:type="page"/>
      </w:r>
    </w:p>
    <w:p w14:paraId="22A3E7CB" w14:textId="77777777" w:rsidR="00303A87" w:rsidRPr="00D81340" w:rsidRDefault="00303A87" w:rsidP="00E26812">
      <w:pPr>
        <w:tabs>
          <w:tab w:val="left" w:pos="3686"/>
        </w:tabs>
        <w:spacing w:line="360" w:lineRule="auto"/>
        <w:ind w:left="3686" w:right="-25" w:hanging="3686"/>
        <w:jc w:val="left"/>
        <w:rPr>
          <w:b/>
          <w:szCs w:val="24"/>
          <w:u w:val="single"/>
        </w:rPr>
      </w:pPr>
    </w:p>
    <w:p w14:paraId="6A2F9DF5" w14:textId="77777777" w:rsidR="00A54AE4" w:rsidRDefault="00A54AE4" w:rsidP="00A54AE4">
      <w:pPr>
        <w:tabs>
          <w:tab w:val="left" w:pos="3686"/>
        </w:tabs>
        <w:autoSpaceDE w:val="0"/>
        <w:autoSpaceDN w:val="0"/>
        <w:adjustRightInd w:val="0"/>
        <w:spacing w:line="360" w:lineRule="auto"/>
        <w:ind w:left="3686" w:right="-745" w:hanging="3686"/>
        <w:jc w:val="left"/>
        <w:rPr>
          <w:rFonts w:eastAsiaTheme="minorEastAsia"/>
          <w:b/>
          <w:bCs/>
          <w:color w:val="000000"/>
          <w:szCs w:val="24"/>
          <w:u w:val="single" w:color="000000"/>
          <w:lang w:eastAsia="zh-CN"/>
        </w:rPr>
      </w:pPr>
      <w:r>
        <w:rPr>
          <w:rFonts w:eastAsiaTheme="minorEastAsia"/>
          <w:b/>
          <w:bCs/>
          <w:color w:val="000000"/>
          <w:szCs w:val="24"/>
          <w:u w:val="single" w:color="000000"/>
          <w:lang w:eastAsia="zh-CN"/>
        </w:rPr>
        <w:t>QUESTION ONE</w:t>
      </w:r>
    </w:p>
    <w:p w14:paraId="3FCBC108" w14:textId="77777777" w:rsidR="00A54AE4" w:rsidRDefault="00A54AE4" w:rsidP="00A54AE4">
      <w:pPr>
        <w:tabs>
          <w:tab w:val="right" w:pos="7020"/>
        </w:tabs>
        <w:autoSpaceDE w:val="0"/>
        <w:autoSpaceDN w:val="0"/>
        <w:adjustRightInd w:val="0"/>
        <w:spacing w:line="276" w:lineRule="auto"/>
        <w:ind w:right="-720"/>
        <w:rPr>
          <w:rFonts w:eastAsiaTheme="minorEastAsia"/>
          <w:b/>
          <w:bCs/>
          <w:color w:val="000000"/>
          <w:szCs w:val="24"/>
          <w:u w:color="000000"/>
          <w:lang w:eastAsia="zh-CN"/>
        </w:rPr>
      </w:pPr>
      <w:r>
        <w:rPr>
          <w:rFonts w:eastAsiaTheme="minorEastAsia"/>
          <w:b/>
          <w:bCs/>
          <w:color w:val="000000"/>
          <w:szCs w:val="24"/>
          <w:u w:color="000000"/>
          <w:lang w:eastAsia="zh-CN"/>
        </w:rPr>
        <w:t>Outline the approach taken by a Court when deciding if a business arrangement is a partnership governed by the Partnership Law Act 2019.  Refer to all relevant provisions of that Act and any applicable case law/common law in your answer.</w:t>
      </w:r>
    </w:p>
    <w:p w14:paraId="06B92182" w14:textId="77777777" w:rsidR="00A54AE4" w:rsidRDefault="00A54AE4" w:rsidP="00A54AE4">
      <w:pPr>
        <w:tabs>
          <w:tab w:val="right" w:pos="7020"/>
        </w:tabs>
        <w:autoSpaceDE w:val="0"/>
        <w:autoSpaceDN w:val="0"/>
        <w:adjustRightInd w:val="0"/>
        <w:spacing w:line="276" w:lineRule="auto"/>
        <w:ind w:right="-720"/>
        <w:rPr>
          <w:rFonts w:eastAsiaTheme="minorEastAsia"/>
          <w:b/>
          <w:bCs/>
          <w:color w:val="000000"/>
          <w:szCs w:val="24"/>
          <w:u w:color="000000"/>
          <w:lang w:eastAsia="zh-CN"/>
        </w:rPr>
      </w:pPr>
    </w:p>
    <w:p w14:paraId="0747244A" w14:textId="77777777" w:rsidR="00A54AE4" w:rsidRDefault="00A54AE4" w:rsidP="00A54AE4">
      <w:pPr>
        <w:autoSpaceDE w:val="0"/>
        <w:autoSpaceDN w:val="0"/>
        <w:adjustRightInd w:val="0"/>
        <w:spacing w:after="200" w:line="276" w:lineRule="auto"/>
        <w:ind w:right="-766"/>
        <w:jc w:val="left"/>
        <w:rPr>
          <w:rFonts w:eastAsiaTheme="minorEastAsia"/>
          <w:b/>
          <w:bCs/>
          <w:color w:val="000000"/>
          <w:szCs w:val="24"/>
          <w:u w:val="single" w:color="000000"/>
          <w:lang w:eastAsia="zh-CN"/>
        </w:rPr>
      </w:pPr>
      <w:r>
        <w:rPr>
          <w:rFonts w:eastAsiaTheme="minorEastAsia"/>
          <w:b/>
          <w:bCs/>
          <w:color w:val="000000"/>
          <w:szCs w:val="24"/>
          <w:u w:val="single" w:color="000000"/>
          <w:lang w:eastAsia="zh-CN"/>
        </w:rPr>
        <w:t>Suggested maximum word count: 400 words.</w:t>
      </w:r>
    </w:p>
    <w:p w14:paraId="4F47D6DD" w14:textId="77777777" w:rsidR="00A54AE4" w:rsidRDefault="00A54AE4" w:rsidP="00A54AE4">
      <w:pPr>
        <w:autoSpaceDE w:val="0"/>
        <w:autoSpaceDN w:val="0"/>
        <w:adjustRightInd w:val="0"/>
        <w:jc w:val="right"/>
        <w:rPr>
          <w:rFonts w:eastAsiaTheme="minorEastAsia"/>
          <w:b/>
          <w:bCs/>
          <w:color w:val="000000"/>
          <w:szCs w:val="24"/>
          <w:u w:color="000000"/>
          <w:lang w:eastAsia="zh-CN"/>
        </w:rPr>
      </w:pPr>
      <w:r>
        <w:rPr>
          <w:rFonts w:eastAsiaTheme="minorEastAsia"/>
          <w:b/>
          <w:bCs/>
          <w:color w:val="000000"/>
          <w:szCs w:val="24"/>
          <w:u w:color="000000"/>
          <w:lang w:eastAsia="zh-CN"/>
        </w:rPr>
        <w:t>[25 MARKS]</w:t>
      </w:r>
    </w:p>
    <w:p w14:paraId="120ACE08" w14:textId="77777777" w:rsidR="00A54AE4" w:rsidRDefault="00A54AE4" w:rsidP="00A54AE4">
      <w:pPr>
        <w:autoSpaceDE w:val="0"/>
        <w:autoSpaceDN w:val="0"/>
        <w:adjustRightInd w:val="0"/>
        <w:jc w:val="right"/>
        <w:rPr>
          <w:rFonts w:eastAsiaTheme="minorEastAsia"/>
          <w:b/>
          <w:bCs/>
          <w:color w:val="000000"/>
          <w:szCs w:val="24"/>
          <w:u w:color="000000"/>
          <w:lang w:eastAsia="zh-CN"/>
        </w:rPr>
      </w:pPr>
    </w:p>
    <w:p w14:paraId="438EB20B"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When analysing if a business arrangement is a partnership, a court will employ the Partnership Law Act 2019 (PLA 2019).</w:t>
      </w:r>
    </w:p>
    <w:p w14:paraId="54511F1F" w14:textId="77777777" w:rsidR="00A54AE4" w:rsidRDefault="00A54AE4" w:rsidP="00A54AE4">
      <w:pPr>
        <w:autoSpaceDE w:val="0"/>
        <w:autoSpaceDN w:val="0"/>
        <w:adjustRightInd w:val="0"/>
        <w:jc w:val="left"/>
        <w:rPr>
          <w:rFonts w:eastAsiaTheme="minorEastAsia"/>
          <w:b/>
          <w:bCs/>
          <w:color w:val="000000"/>
          <w:szCs w:val="24"/>
          <w:u w:color="000000"/>
          <w:lang w:eastAsia="zh-CN"/>
        </w:rPr>
      </w:pPr>
    </w:p>
    <w:p w14:paraId="4723BAE8" w14:textId="72137B4D"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For a business arrangement to assessed as a partnership, it must first satisfy the three requirements outlined under </w:t>
      </w:r>
      <w:r>
        <w:rPr>
          <w:rFonts w:eastAsiaTheme="minorEastAsia"/>
          <w:color w:val="000000"/>
          <w:szCs w:val="24"/>
          <w:u w:color="000000"/>
          <w:lang w:eastAsia="zh-CN"/>
        </w:rPr>
        <w:t>S</w:t>
      </w:r>
      <w:r>
        <w:rPr>
          <w:rFonts w:eastAsiaTheme="minorEastAsia"/>
          <w:color w:val="000000"/>
          <w:szCs w:val="24"/>
          <w:u w:color="000000"/>
          <w:lang w:eastAsia="zh-CN"/>
        </w:rPr>
        <w:t xml:space="preserve">ection 8. </w:t>
      </w:r>
    </w:p>
    <w:p w14:paraId="40C63D88"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Firstly, there must be a relationship of trust and mutual confidence between two or more people. </w:t>
      </w:r>
    </w:p>
    <w:p w14:paraId="10336FCA" w14:textId="7E4CAF70"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Secondly, they must carry on a business</w:t>
      </w:r>
      <w:r w:rsidR="00400C1B">
        <w:rPr>
          <w:rFonts w:eastAsiaTheme="minorEastAsia"/>
          <w:color w:val="000000"/>
          <w:szCs w:val="24"/>
          <w:u w:color="000000"/>
          <w:lang w:eastAsia="zh-CN"/>
        </w:rPr>
        <w:t xml:space="preserve"> </w:t>
      </w:r>
      <w:r>
        <w:rPr>
          <w:rFonts w:eastAsiaTheme="minorEastAsia"/>
          <w:color w:val="000000"/>
          <w:szCs w:val="24"/>
          <w:u w:color="000000"/>
          <w:lang w:eastAsia="zh-CN"/>
        </w:rPr>
        <w:t xml:space="preserve">in common - this is an intention to operate a business together as observed in </w:t>
      </w:r>
      <w:r w:rsidR="00400C1B" w:rsidRPr="00A54AE4">
        <w:rPr>
          <w:rFonts w:eastAsiaTheme="minorEastAsia"/>
          <w:b/>
          <w:bCs/>
          <w:color w:val="000000"/>
          <w:szCs w:val="24"/>
          <w:u w:color="000000"/>
          <w:lang w:eastAsia="zh-CN"/>
        </w:rPr>
        <w:t>Khan v Miah</w:t>
      </w:r>
      <w:r w:rsidR="00400C1B">
        <w:rPr>
          <w:rStyle w:val="FootnoteReference"/>
          <w:rFonts w:eastAsiaTheme="minorEastAsia"/>
          <w:b/>
          <w:bCs/>
          <w:color w:val="000000"/>
          <w:szCs w:val="24"/>
          <w:u w:color="000000"/>
          <w:lang w:eastAsia="zh-CN"/>
        </w:rPr>
        <w:footnoteReference w:id="5"/>
      </w:r>
      <w:r w:rsidR="00400C1B">
        <w:rPr>
          <w:rFonts w:eastAsiaTheme="minorEastAsia"/>
          <w:b/>
          <w:bCs/>
          <w:color w:val="000000"/>
          <w:szCs w:val="24"/>
          <w:u w:color="000000"/>
          <w:lang w:eastAsia="zh-CN"/>
        </w:rPr>
        <w:t>.</w:t>
      </w:r>
    </w:p>
    <w:p w14:paraId="205442A5" w14:textId="5D56E84F"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Thirdly, they must operate with a view to profit (hence a </w:t>
      </w:r>
      <w:r>
        <w:rPr>
          <w:rFonts w:eastAsiaTheme="minorEastAsia"/>
          <w:color w:val="000000"/>
          <w:szCs w:val="24"/>
          <w:u w:color="000000"/>
          <w:lang w:eastAsia="zh-CN"/>
        </w:rPr>
        <w:t>non-profit</w:t>
      </w:r>
      <w:r>
        <w:rPr>
          <w:rFonts w:eastAsiaTheme="minorEastAsia"/>
          <w:color w:val="000000"/>
          <w:szCs w:val="24"/>
          <w:u w:color="000000"/>
          <w:lang w:eastAsia="zh-CN"/>
        </w:rPr>
        <w:t xml:space="preserve"> or charity cannot be considered a partnership). </w:t>
      </w:r>
    </w:p>
    <w:p w14:paraId="5B8D7880" w14:textId="3383352C" w:rsidR="00A54AE4" w:rsidRDefault="00400C1B"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As stated by Section 11, t</w:t>
      </w:r>
      <w:r w:rsidR="00A54AE4">
        <w:rPr>
          <w:rFonts w:eastAsiaTheme="minorEastAsia"/>
          <w:color w:val="000000"/>
          <w:szCs w:val="24"/>
          <w:u w:color="000000"/>
          <w:lang w:eastAsia="zh-CN"/>
        </w:rPr>
        <w:t xml:space="preserve">his analysis will require additional provable evidence of partnerships (outlined in </w:t>
      </w:r>
      <w:r>
        <w:rPr>
          <w:rFonts w:eastAsiaTheme="minorEastAsia"/>
          <w:color w:val="000000"/>
          <w:szCs w:val="24"/>
          <w:u w:color="000000"/>
          <w:lang w:eastAsia="zh-CN"/>
        </w:rPr>
        <w:t>Section</w:t>
      </w:r>
      <w:r w:rsidR="00A54AE4">
        <w:rPr>
          <w:rFonts w:eastAsiaTheme="minorEastAsia"/>
          <w:color w:val="000000"/>
          <w:szCs w:val="24"/>
          <w:u w:color="000000"/>
          <w:lang w:eastAsia="zh-CN"/>
        </w:rPr>
        <w:t xml:space="preserve"> 12-15) as other business entities (</w:t>
      </w:r>
      <w:proofErr w:type="spellStart"/>
      <w:r w:rsidR="00A54AE4">
        <w:rPr>
          <w:rFonts w:eastAsiaTheme="minorEastAsia"/>
          <w:color w:val="000000"/>
          <w:szCs w:val="24"/>
          <w:u w:color="000000"/>
          <w:lang w:eastAsia="zh-CN"/>
        </w:rPr>
        <w:t>e.g</w:t>
      </w:r>
      <w:proofErr w:type="spellEnd"/>
      <w:r w:rsidR="00A54AE4">
        <w:rPr>
          <w:rFonts w:eastAsiaTheme="minorEastAsia"/>
          <w:color w:val="000000"/>
          <w:szCs w:val="24"/>
          <w:u w:color="000000"/>
          <w:lang w:eastAsia="zh-CN"/>
        </w:rPr>
        <w:t xml:space="preserve"> companies, joint ventures etc.) can meet the conditions outlined in </w:t>
      </w:r>
      <w:r>
        <w:rPr>
          <w:rFonts w:eastAsiaTheme="minorEastAsia"/>
          <w:color w:val="000000"/>
          <w:szCs w:val="24"/>
          <w:u w:color="000000"/>
          <w:lang w:eastAsia="zh-CN"/>
        </w:rPr>
        <w:t>Section</w:t>
      </w:r>
      <w:r w:rsidR="00A54AE4">
        <w:rPr>
          <w:rFonts w:eastAsiaTheme="minorEastAsia"/>
          <w:color w:val="000000"/>
          <w:szCs w:val="24"/>
          <w:u w:color="000000"/>
          <w:lang w:eastAsia="zh-CN"/>
        </w:rPr>
        <w:t xml:space="preserve"> 8; as discussed in Section 9.</w:t>
      </w:r>
    </w:p>
    <w:p w14:paraId="5D54A80E" w14:textId="77777777" w:rsidR="00A54AE4" w:rsidRDefault="00A54AE4" w:rsidP="00A54AE4">
      <w:pPr>
        <w:autoSpaceDE w:val="0"/>
        <w:autoSpaceDN w:val="0"/>
        <w:adjustRightInd w:val="0"/>
        <w:jc w:val="left"/>
        <w:rPr>
          <w:rFonts w:eastAsiaTheme="minorEastAsia"/>
          <w:color w:val="000000"/>
          <w:szCs w:val="24"/>
          <w:u w:color="000000"/>
          <w:lang w:eastAsia="zh-CN"/>
        </w:rPr>
      </w:pPr>
    </w:p>
    <w:p w14:paraId="13C00DF6"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Once a business arrangement has met the three conditions of Section 8, the court will observe other provable evidence of partnership - this is outlined in Section 12 to 15. </w:t>
      </w:r>
    </w:p>
    <w:p w14:paraId="49E446EC" w14:textId="07D05149"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Under Section 12 Co-ownership of land and Section 13 Sharing gross returns, does not in itself indicate a partnership as observed in </w:t>
      </w:r>
      <w:r>
        <w:rPr>
          <w:rFonts w:eastAsiaTheme="minorEastAsia"/>
          <w:b/>
          <w:bCs/>
          <w:color w:val="000000"/>
          <w:szCs w:val="24"/>
          <w:u w:color="000000"/>
          <w:lang w:eastAsia="zh-CN"/>
        </w:rPr>
        <w:t>Cox v Coulson</w:t>
      </w:r>
      <w:r>
        <w:rPr>
          <w:rStyle w:val="FootnoteReference"/>
          <w:rFonts w:eastAsiaTheme="minorEastAsia"/>
          <w:b/>
          <w:bCs/>
          <w:color w:val="000000"/>
          <w:szCs w:val="24"/>
          <w:u w:color="000000"/>
          <w:lang w:eastAsia="zh-CN"/>
        </w:rPr>
        <w:footnoteReference w:id="6"/>
      </w:r>
      <w:r>
        <w:rPr>
          <w:rFonts w:eastAsiaTheme="minorEastAsia"/>
          <w:color w:val="000000"/>
          <w:szCs w:val="24"/>
          <w:u w:color="000000"/>
          <w:lang w:eastAsia="zh-CN"/>
        </w:rPr>
        <w:t>.</w:t>
      </w:r>
    </w:p>
    <w:p w14:paraId="55819A2F" w14:textId="3FDB30E0"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However, if entities in the business arrangement are receiving shares of the net profit, under section 14 this </w:t>
      </w:r>
      <w:r>
        <w:rPr>
          <w:rFonts w:eastAsiaTheme="minorEastAsia"/>
          <w:color w:val="000000"/>
          <w:szCs w:val="24"/>
          <w:u w:color="000000"/>
          <w:lang w:eastAsia="zh-CN"/>
        </w:rPr>
        <w:t>may be</w:t>
      </w:r>
      <w:r>
        <w:rPr>
          <w:rFonts w:eastAsiaTheme="minorEastAsia"/>
          <w:color w:val="000000"/>
          <w:szCs w:val="24"/>
          <w:u w:color="000000"/>
          <w:lang w:eastAsia="zh-CN"/>
        </w:rPr>
        <w:t xml:space="preserve"> considered provable evidence that a business arrangement - however this is subject to overall relationship and intention of the parties and </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15 which outlined the circumstances where this evidence would be invalid.</w:t>
      </w:r>
    </w:p>
    <w:p w14:paraId="6804DDBB" w14:textId="77777777" w:rsidR="00A54AE4" w:rsidRDefault="00A54AE4" w:rsidP="00A54AE4">
      <w:pPr>
        <w:autoSpaceDE w:val="0"/>
        <w:autoSpaceDN w:val="0"/>
        <w:adjustRightInd w:val="0"/>
        <w:jc w:val="left"/>
        <w:rPr>
          <w:rFonts w:eastAsiaTheme="minorEastAsia"/>
          <w:color w:val="000000"/>
          <w:szCs w:val="24"/>
          <w:u w:color="000000"/>
          <w:lang w:eastAsia="zh-CN"/>
        </w:rPr>
      </w:pPr>
    </w:p>
    <w:p w14:paraId="1DBB34EA" w14:textId="4AC211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In</w:t>
      </w:r>
      <w:r>
        <w:rPr>
          <w:rFonts w:eastAsiaTheme="minorEastAsia"/>
          <w:b/>
          <w:bCs/>
          <w:color w:val="000000"/>
          <w:szCs w:val="24"/>
          <w:u w:color="000000"/>
          <w:lang w:eastAsia="zh-CN"/>
        </w:rPr>
        <w:t xml:space="preserve"> </w:t>
      </w:r>
      <w:proofErr w:type="spellStart"/>
      <w:r>
        <w:rPr>
          <w:rFonts w:eastAsiaTheme="minorEastAsia"/>
          <w:b/>
          <w:bCs/>
          <w:color w:val="000000"/>
          <w:szCs w:val="24"/>
          <w:u w:color="000000"/>
          <w:lang w:eastAsia="zh-CN"/>
        </w:rPr>
        <w:t>Whywait</w:t>
      </w:r>
      <w:proofErr w:type="spellEnd"/>
      <w:r>
        <w:rPr>
          <w:rFonts w:eastAsiaTheme="minorEastAsia"/>
          <w:b/>
          <w:bCs/>
          <w:color w:val="000000"/>
          <w:szCs w:val="24"/>
          <w:u w:color="000000"/>
          <w:lang w:eastAsia="zh-CN"/>
        </w:rPr>
        <w:t xml:space="preserve"> PTY LTD V Davison</w:t>
      </w:r>
      <w:r>
        <w:rPr>
          <w:rStyle w:val="FootnoteReference"/>
          <w:rFonts w:eastAsiaTheme="minorEastAsia"/>
          <w:b/>
          <w:bCs/>
          <w:color w:val="000000"/>
          <w:szCs w:val="24"/>
          <w:u w:color="000000"/>
          <w:lang w:eastAsia="zh-CN"/>
        </w:rPr>
        <w:footnoteReference w:id="7"/>
      </w:r>
      <w:r>
        <w:rPr>
          <w:rFonts w:eastAsiaTheme="minorEastAsia"/>
          <w:b/>
          <w:bCs/>
          <w:color w:val="000000"/>
          <w:szCs w:val="24"/>
          <w:u w:color="000000"/>
          <w:lang w:eastAsia="zh-CN"/>
        </w:rPr>
        <w:t xml:space="preserve"> </w:t>
      </w:r>
      <w:r>
        <w:rPr>
          <w:rFonts w:eastAsiaTheme="minorEastAsia"/>
          <w:color w:val="000000"/>
          <w:szCs w:val="24"/>
          <w:u w:color="000000"/>
          <w:lang w:eastAsia="zh-CN"/>
        </w:rPr>
        <w:t xml:space="preserve">we observe this analysis. </w:t>
      </w:r>
    </w:p>
    <w:p w14:paraId="31E9B0A7"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On the grounds that the parties had delegated responsibilities necessary to complete the project - a relationship of trust and confidence was found.</w:t>
      </w:r>
    </w:p>
    <w:p w14:paraId="6D2AC09F"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On the grounds that the parties intended to complete and profit off the project together - a intention to carry on business was found.</w:t>
      </w:r>
    </w:p>
    <w:p w14:paraId="1C2C7851"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On the grounds that the parties intended to earn a profit on the project - a view to profit was found.</w:t>
      </w:r>
    </w:p>
    <w:p w14:paraId="71108C45" w14:textId="77777777"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Additionally, the parties equally shared the net profit on the project’s completion.</w:t>
      </w:r>
    </w:p>
    <w:p w14:paraId="22E232E5" w14:textId="2231D79D"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Thus</w:t>
      </w:r>
      <w:r>
        <w:rPr>
          <w:rFonts w:eastAsiaTheme="minorEastAsia"/>
          <w:color w:val="000000"/>
          <w:szCs w:val="24"/>
          <w:u w:color="000000"/>
          <w:lang w:eastAsia="zh-CN"/>
        </w:rPr>
        <w:t>,</w:t>
      </w:r>
      <w:r>
        <w:rPr>
          <w:rFonts w:eastAsiaTheme="minorEastAsia"/>
          <w:color w:val="000000"/>
          <w:szCs w:val="24"/>
          <w:u w:color="000000"/>
          <w:lang w:eastAsia="zh-CN"/>
        </w:rPr>
        <w:t xml:space="preserve"> it was decided by the court that the arrangement in </w:t>
      </w:r>
      <w:proofErr w:type="spellStart"/>
      <w:r>
        <w:rPr>
          <w:rFonts w:eastAsiaTheme="minorEastAsia"/>
          <w:b/>
          <w:bCs/>
          <w:color w:val="000000"/>
          <w:szCs w:val="24"/>
          <w:u w:color="000000"/>
          <w:lang w:eastAsia="zh-CN"/>
        </w:rPr>
        <w:t>Whywait</w:t>
      </w:r>
      <w:proofErr w:type="spellEnd"/>
      <w:r>
        <w:rPr>
          <w:rFonts w:eastAsiaTheme="minorEastAsia"/>
          <w:b/>
          <w:bCs/>
          <w:color w:val="000000"/>
          <w:szCs w:val="24"/>
          <w:u w:color="000000"/>
          <w:lang w:eastAsia="zh-CN"/>
        </w:rPr>
        <w:t xml:space="preserve"> PTY LTD V Davison</w:t>
      </w:r>
      <w:r>
        <w:rPr>
          <w:rStyle w:val="FootnoteReference"/>
          <w:rFonts w:eastAsiaTheme="minorEastAsia"/>
          <w:b/>
          <w:bCs/>
          <w:color w:val="000000"/>
          <w:szCs w:val="24"/>
          <w:u w:color="000000"/>
          <w:lang w:eastAsia="zh-CN"/>
        </w:rPr>
        <w:footnoteReference w:id="8"/>
      </w:r>
      <w:r>
        <w:rPr>
          <w:rFonts w:eastAsiaTheme="minorEastAsia"/>
          <w:b/>
          <w:bCs/>
          <w:color w:val="000000"/>
          <w:szCs w:val="24"/>
          <w:u w:color="000000"/>
          <w:lang w:eastAsia="zh-CN"/>
        </w:rPr>
        <w:t xml:space="preserve"> </w:t>
      </w:r>
      <w:r>
        <w:rPr>
          <w:rFonts w:eastAsiaTheme="minorEastAsia"/>
          <w:color w:val="000000"/>
          <w:szCs w:val="24"/>
          <w:u w:color="000000"/>
          <w:lang w:eastAsia="zh-CN"/>
        </w:rPr>
        <w:t xml:space="preserve">was a partnership as the business arrangement satisfied </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8 and 14 of the PLA 2019.</w:t>
      </w:r>
    </w:p>
    <w:p w14:paraId="5AC75089" w14:textId="77777777" w:rsidR="00A54AE4" w:rsidRDefault="00A54AE4" w:rsidP="00A54AE4">
      <w:pPr>
        <w:autoSpaceDE w:val="0"/>
        <w:autoSpaceDN w:val="0"/>
        <w:adjustRightInd w:val="0"/>
        <w:jc w:val="left"/>
        <w:rPr>
          <w:rFonts w:eastAsiaTheme="minorEastAsia"/>
          <w:color w:val="000000"/>
          <w:szCs w:val="24"/>
          <w:u w:color="000000"/>
          <w:lang w:eastAsia="zh-CN"/>
        </w:rPr>
      </w:pPr>
    </w:p>
    <w:p w14:paraId="2B696D57" w14:textId="22C5B9DA" w:rsidR="00A54AE4" w:rsidRDefault="00A54AE4" w:rsidP="00A54AE4">
      <w:pPr>
        <w:autoSpaceDE w:val="0"/>
        <w:autoSpaceDN w:val="0"/>
        <w:adjustRightInd w:val="0"/>
        <w:jc w:val="left"/>
        <w:rPr>
          <w:rFonts w:eastAsiaTheme="minorEastAsia"/>
          <w:color w:val="000000"/>
          <w:szCs w:val="24"/>
          <w:u w:color="000000"/>
          <w:lang w:eastAsia="zh-CN"/>
        </w:rPr>
      </w:pPr>
      <w:r>
        <w:rPr>
          <w:rFonts w:eastAsiaTheme="minorEastAsia"/>
          <w:color w:val="000000"/>
          <w:szCs w:val="24"/>
          <w:u w:color="000000"/>
          <w:lang w:eastAsia="zh-CN"/>
        </w:rPr>
        <w:t xml:space="preserve">In conclusion for a business arrangement to be determined as a partnership, it must satisfy the three conditions outline in </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8 of the PLA 2019 and have valid provable evidence as outlined in </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12 to 15.</w:t>
      </w:r>
    </w:p>
    <w:p w14:paraId="069466B8" w14:textId="77777777" w:rsidR="00A54AE4" w:rsidRDefault="00A54AE4" w:rsidP="00A54AE4">
      <w:pPr>
        <w:autoSpaceDE w:val="0"/>
        <w:autoSpaceDN w:val="0"/>
        <w:adjustRightInd w:val="0"/>
        <w:jc w:val="left"/>
        <w:rPr>
          <w:rFonts w:eastAsiaTheme="minorEastAsia"/>
          <w:color w:val="000000"/>
          <w:szCs w:val="24"/>
          <w:u w:color="000000"/>
          <w:lang w:eastAsia="zh-CN"/>
        </w:rPr>
      </w:pPr>
    </w:p>
    <w:p w14:paraId="06355898" w14:textId="77777777" w:rsidR="00A54AE4" w:rsidRDefault="00A54AE4" w:rsidP="00A54AE4">
      <w:pPr>
        <w:autoSpaceDE w:val="0"/>
        <w:autoSpaceDN w:val="0"/>
        <w:adjustRightInd w:val="0"/>
        <w:jc w:val="left"/>
        <w:rPr>
          <w:rFonts w:eastAsiaTheme="minorEastAsia"/>
          <w:color w:val="000000"/>
          <w:szCs w:val="24"/>
          <w:u w:color="000000"/>
          <w:lang w:eastAsia="zh-CN"/>
        </w:rPr>
      </w:pPr>
    </w:p>
    <w:p w14:paraId="47947817" w14:textId="77777777"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b/>
          <w:bCs/>
          <w:color w:val="000000"/>
          <w:szCs w:val="24"/>
          <w:u w:val="single" w:color="000000"/>
          <w:lang w:eastAsia="zh-CN"/>
        </w:rPr>
        <w:t>QUESTION TWO</w:t>
      </w:r>
      <w:r>
        <w:rPr>
          <w:rFonts w:eastAsiaTheme="minorEastAsia"/>
          <w:color w:val="000000"/>
          <w:szCs w:val="24"/>
          <w:u w:color="000000"/>
          <w:lang w:eastAsia="zh-CN"/>
        </w:rPr>
        <w:t xml:space="preserve"> </w:t>
      </w:r>
    </w:p>
    <w:p w14:paraId="25CFDF07" w14:textId="77777777" w:rsidR="00A54AE4" w:rsidRDefault="00A54AE4" w:rsidP="00A54AE4">
      <w:pPr>
        <w:autoSpaceDE w:val="0"/>
        <w:autoSpaceDN w:val="0"/>
        <w:adjustRightInd w:val="0"/>
        <w:ind w:right="-720"/>
        <w:rPr>
          <w:rFonts w:eastAsiaTheme="minorEastAsia"/>
          <w:b/>
          <w:bCs/>
          <w:color w:val="000000"/>
          <w:szCs w:val="24"/>
          <w:u w:color="000000"/>
          <w:lang w:eastAsia="zh-CN"/>
        </w:rPr>
      </w:pPr>
      <w:r>
        <w:rPr>
          <w:rFonts w:eastAsiaTheme="minorEastAsia"/>
          <w:b/>
          <w:bCs/>
          <w:color w:val="000000"/>
          <w:szCs w:val="24"/>
          <w:u w:color="000000"/>
          <w:lang w:eastAsia="zh-CN"/>
        </w:rPr>
        <w:t>Krill Adventures Limited is the registered company name of a successful business that markets high quality children’s clothes. Krill Adventures products have distinctive branding, featuring cartoons of Scratchy the Krill having fun adventures. (‘Krill’ is a small shrimp-like crustacean.)</w:t>
      </w:r>
    </w:p>
    <w:p w14:paraId="32ABCCC3" w14:textId="77777777" w:rsidR="00A54AE4" w:rsidRDefault="00A54AE4" w:rsidP="00A54AE4">
      <w:pPr>
        <w:autoSpaceDE w:val="0"/>
        <w:autoSpaceDN w:val="0"/>
        <w:adjustRightInd w:val="0"/>
        <w:ind w:right="-720"/>
        <w:rPr>
          <w:rFonts w:eastAsiaTheme="minorEastAsia"/>
          <w:b/>
          <w:bCs/>
          <w:color w:val="000000"/>
          <w:szCs w:val="24"/>
          <w:u w:color="000000"/>
          <w:lang w:eastAsia="zh-CN"/>
        </w:rPr>
      </w:pPr>
    </w:p>
    <w:p w14:paraId="03DB17AE" w14:textId="77777777" w:rsidR="00A54AE4" w:rsidRDefault="00A54AE4" w:rsidP="00A54AE4">
      <w:pPr>
        <w:autoSpaceDE w:val="0"/>
        <w:autoSpaceDN w:val="0"/>
        <w:adjustRightInd w:val="0"/>
        <w:ind w:right="-720"/>
        <w:rPr>
          <w:rFonts w:eastAsiaTheme="minorEastAsia"/>
          <w:b/>
          <w:bCs/>
          <w:color w:val="000000"/>
          <w:szCs w:val="24"/>
          <w:u w:color="000000"/>
          <w:lang w:eastAsia="zh-CN"/>
        </w:rPr>
      </w:pPr>
      <w:r>
        <w:rPr>
          <w:rFonts w:eastAsiaTheme="minorEastAsia"/>
          <w:b/>
          <w:bCs/>
          <w:color w:val="000000"/>
          <w:szCs w:val="24"/>
          <w:u w:color="000000"/>
          <w:lang w:eastAsia="zh-CN"/>
        </w:rPr>
        <w:t>Morris Spicer has on online business selling offensive t-shirts. The business is surprisingly successful, and Morris decides to incorporate a company, which he wishes to name Kill Adventures Limited. This is because his most successful product is a range of t-shirts showing people suffering various unexpected accidents and injuries.</w:t>
      </w:r>
    </w:p>
    <w:p w14:paraId="07282297" w14:textId="77777777" w:rsidR="00A54AE4" w:rsidRDefault="00A54AE4" w:rsidP="00A54AE4">
      <w:pPr>
        <w:autoSpaceDE w:val="0"/>
        <w:autoSpaceDN w:val="0"/>
        <w:adjustRightInd w:val="0"/>
        <w:ind w:right="-720"/>
        <w:rPr>
          <w:rFonts w:eastAsiaTheme="minorEastAsia"/>
          <w:b/>
          <w:bCs/>
          <w:color w:val="000000"/>
          <w:szCs w:val="24"/>
          <w:u w:color="000000"/>
          <w:lang w:eastAsia="zh-CN"/>
        </w:rPr>
      </w:pPr>
    </w:p>
    <w:p w14:paraId="29C3AD0F"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Required:</w:t>
      </w:r>
    </w:p>
    <w:p w14:paraId="52D2E6C0" w14:textId="77777777" w:rsidR="00A54AE4" w:rsidRDefault="00A54AE4" w:rsidP="00A54AE4">
      <w:pPr>
        <w:autoSpaceDE w:val="0"/>
        <w:autoSpaceDN w:val="0"/>
        <w:adjustRightInd w:val="0"/>
        <w:ind w:right="-720"/>
        <w:rPr>
          <w:rFonts w:eastAsiaTheme="minorEastAsia"/>
          <w:b/>
          <w:bCs/>
          <w:color w:val="000000"/>
          <w:szCs w:val="24"/>
          <w:u w:color="000000"/>
          <w:lang w:eastAsia="zh-CN"/>
        </w:rPr>
      </w:pPr>
    </w:p>
    <w:p w14:paraId="7FEB2678" w14:textId="77777777" w:rsidR="00A54AE4" w:rsidRDefault="00A54AE4" w:rsidP="00A54AE4">
      <w:pPr>
        <w:autoSpaceDE w:val="0"/>
        <w:autoSpaceDN w:val="0"/>
        <w:adjustRightInd w:val="0"/>
        <w:ind w:right="-720"/>
        <w:rPr>
          <w:rFonts w:eastAsiaTheme="minorEastAsia"/>
          <w:b/>
          <w:bCs/>
          <w:color w:val="000000"/>
          <w:szCs w:val="24"/>
          <w:u w:color="000000"/>
          <w:lang w:eastAsia="zh-CN"/>
        </w:rPr>
      </w:pPr>
      <w:r>
        <w:rPr>
          <w:rFonts w:eastAsiaTheme="minorEastAsia"/>
          <w:b/>
          <w:bCs/>
          <w:color w:val="000000"/>
          <w:szCs w:val="24"/>
          <w:u w:color="000000"/>
          <w:lang w:eastAsia="zh-CN"/>
        </w:rPr>
        <w:t>Explain whether the Register is likely to register the name Kill Adventures Limited. Your answer should refer to relevant provisions of the Companies Act 1993, case law and any other authoritative source.</w:t>
      </w:r>
    </w:p>
    <w:p w14:paraId="7B2FB7CF"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p>
    <w:p w14:paraId="70AB87E4" w14:textId="77777777" w:rsidR="00A54AE4" w:rsidRDefault="00A54AE4" w:rsidP="00A54AE4">
      <w:pPr>
        <w:autoSpaceDE w:val="0"/>
        <w:autoSpaceDN w:val="0"/>
        <w:adjustRightInd w:val="0"/>
        <w:spacing w:after="200" w:line="276" w:lineRule="auto"/>
        <w:ind w:right="-766"/>
        <w:jc w:val="left"/>
        <w:rPr>
          <w:rFonts w:eastAsiaTheme="minorEastAsia"/>
          <w:b/>
          <w:bCs/>
          <w:color w:val="000000"/>
          <w:szCs w:val="24"/>
          <w:u w:val="single" w:color="000000"/>
          <w:lang w:eastAsia="zh-CN"/>
        </w:rPr>
      </w:pPr>
      <w:r>
        <w:rPr>
          <w:rFonts w:eastAsiaTheme="minorEastAsia"/>
          <w:b/>
          <w:bCs/>
          <w:color w:val="000000"/>
          <w:szCs w:val="24"/>
          <w:u w:val="single" w:color="000000"/>
          <w:lang w:eastAsia="zh-CN"/>
        </w:rPr>
        <w:t>Suggested maximum word count: 400 words.</w:t>
      </w:r>
    </w:p>
    <w:p w14:paraId="7F89343B" w14:textId="77777777" w:rsidR="00A54AE4" w:rsidRDefault="00A54AE4" w:rsidP="00A54AE4">
      <w:pPr>
        <w:autoSpaceDE w:val="0"/>
        <w:autoSpaceDN w:val="0"/>
        <w:adjustRightInd w:val="0"/>
        <w:jc w:val="right"/>
        <w:rPr>
          <w:rFonts w:eastAsiaTheme="minorEastAsia"/>
          <w:b/>
          <w:bCs/>
          <w:color w:val="000000"/>
          <w:szCs w:val="24"/>
          <w:u w:color="000000"/>
          <w:lang w:eastAsia="zh-CN"/>
        </w:rPr>
      </w:pPr>
      <w:r>
        <w:rPr>
          <w:rFonts w:eastAsiaTheme="minorEastAsia"/>
          <w:b/>
          <w:bCs/>
          <w:color w:val="000000"/>
          <w:szCs w:val="24"/>
          <w:u w:color="000000"/>
          <w:lang w:eastAsia="zh-CN"/>
        </w:rPr>
        <w:t>[25 MARKS]</w:t>
      </w:r>
    </w:p>
    <w:p w14:paraId="4DA5A5C2" w14:textId="77777777" w:rsidR="00A54AE4" w:rsidRDefault="00A54AE4" w:rsidP="00A54AE4">
      <w:pPr>
        <w:autoSpaceDE w:val="0"/>
        <w:autoSpaceDN w:val="0"/>
        <w:adjustRightInd w:val="0"/>
        <w:jc w:val="right"/>
        <w:rPr>
          <w:rFonts w:eastAsiaTheme="minorEastAsia"/>
          <w:b/>
          <w:bCs/>
          <w:color w:val="000000"/>
          <w:szCs w:val="24"/>
          <w:u w:color="000000"/>
          <w:lang w:eastAsia="zh-CN"/>
        </w:rPr>
      </w:pPr>
    </w:p>
    <w:p w14:paraId="66D4D3B9" w14:textId="082913F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 xml:space="preserve">Names must be reserved in accordance to Companies Act 1993 (CA 1993)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20 before a business can apply to register a company. Does the name ‘Kill Adventures Limited’ meet the requirements of being approved by the name register?</w:t>
      </w:r>
    </w:p>
    <w:p w14:paraId="0DCB4EA8"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p>
    <w:p w14:paraId="4B952C77" w14:textId="463621AF"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 xml:space="preserve">Under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22, the Registrar must not reserve a name in which the use of would contravene an enactment, is identical or almost identical to the name of another company or in the opinion of the Registrar, is offensive. </w:t>
      </w:r>
    </w:p>
    <w:p w14:paraId="34D7BC3B"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p>
    <w:p w14:paraId="535CE598"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The name ‘Kill Adventures Limited’ does not contravene an act as it does not breach Flags, Emblems and Names Protection Act 1981, Reserve Bank of New Zealand Act 1989, Co-operative Companies Act 1996 or Human Rights Act 1993.</w:t>
      </w:r>
    </w:p>
    <w:p w14:paraId="2DE0E0F8" w14:textId="7AD545FD"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It is unlikely that the name ‘Kill Adventures Limited’ would be considered identical or almost identical to ‘Krill Adventures Limited’. This is because the word ‘Krill’ and ‘Kill’ are likely to be dissimilar enough to grammatically to distinguish the two name</w:t>
      </w:r>
      <w:r>
        <w:rPr>
          <w:rFonts w:ascii="Times" w:eastAsiaTheme="minorEastAsia" w:hAnsi="Times" w:cs="Times"/>
          <w:color w:val="000000"/>
          <w:szCs w:val="24"/>
          <w:u w:color="000000"/>
          <w:lang w:eastAsia="zh-CN"/>
        </w:rPr>
        <w:t>s</w:t>
      </w:r>
      <w:r>
        <w:rPr>
          <w:rFonts w:ascii="Times" w:eastAsiaTheme="minorEastAsia" w:hAnsi="Times" w:cs="Times"/>
          <w:color w:val="000000"/>
          <w:szCs w:val="24"/>
          <w:u w:color="000000"/>
          <w:lang w:eastAsia="zh-CN"/>
        </w:rPr>
        <w:t xml:space="preserve">. This assumption is made based on </w:t>
      </w:r>
      <w:r>
        <w:rPr>
          <w:rFonts w:ascii="Times" w:eastAsiaTheme="minorEastAsia" w:hAnsi="Times" w:cs="Times"/>
          <w:b/>
          <w:bCs/>
          <w:color w:val="000000"/>
          <w:szCs w:val="24"/>
          <w:u w:color="000000"/>
          <w:lang w:eastAsia="zh-CN"/>
        </w:rPr>
        <w:t>Paint Factory Ltd v Registrar of Companies</w:t>
      </w:r>
      <w:r>
        <w:rPr>
          <w:rStyle w:val="FootnoteReference"/>
          <w:rFonts w:ascii="Times" w:eastAsiaTheme="minorEastAsia" w:hAnsi="Times" w:cs="Times"/>
          <w:b/>
          <w:bCs/>
          <w:color w:val="000000"/>
          <w:szCs w:val="24"/>
          <w:u w:color="000000"/>
          <w:lang w:eastAsia="zh-CN"/>
        </w:rPr>
        <w:footnoteReference w:id="9"/>
      </w:r>
      <w:r>
        <w:rPr>
          <w:rFonts w:ascii="Times" w:eastAsiaTheme="minorEastAsia" w:hAnsi="Times" w:cs="Times"/>
          <w:b/>
          <w:bCs/>
          <w:color w:val="000000"/>
          <w:szCs w:val="24"/>
          <w:u w:color="000000"/>
          <w:lang w:eastAsia="zh-CN"/>
        </w:rPr>
        <w:t>,</w:t>
      </w:r>
      <w:r>
        <w:rPr>
          <w:rFonts w:ascii="Times" w:eastAsiaTheme="minorEastAsia" w:hAnsi="Times" w:cs="Times"/>
          <w:color w:val="000000"/>
          <w:szCs w:val="24"/>
          <w:u w:color="000000"/>
          <w:lang w:eastAsia="zh-CN"/>
        </w:rPr>
        <w:t xml:space="preserve"> where the Registrar refused to order company The Paint Factory (PN) Ltd to change its name because differences in names consisted of geographical, numerical or date markers. Additionally, there is no indication in the Companies Act 1993 or the Registrar’s practice that similar sounding company names should be considered identical or almost identical under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22.</w:t>
      </w:r>
    </w:p>
    <w:p w14:paraId="27236163"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lastRenderedPageBreak/>
        <w:t>The name ‘Kill Adventures Limited’ is unlikely to be considered offensive as it is not obscene, contrary to public policy or offensive to a particular section of the community/religion.</w:t>
      </w:r>
    </w:p>
    <w:p w14:paraId="135BDDE5"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Therefore, the name ‘Kill Adventures Limited’ meets all 3 requirements of section 22 of the Companies Act 1993.</w:t>
      </w:r>
    </w:p>
    <w:p w14:paraId="465C663E"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p>
    <w:p w14:paraId="61CB405F" w14:textId="68C4FAE8"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 xml:space="preserve">It is important to note that the Registrar’s function when making a decision under section 22 is only concerned with matters that arise out of the name. Due to the similarity in pronunciation Krill Adventures Limited may have grounds to prosecute Kill Adventures Limited for the tort of passing off or else for breaching the </w:t>
      </w:r>
      <w:r>
        <w:rPr>
          <w:rFonts w:ascii="Times" w:eastAsiaTheme="minorEastAsia" w:hAnsi="Times" w:cs="Times"/>
          <w:color w:val="000000"/>
          <w:szCs w:val="24"/>
          <w:u w:color="000000"/>
          <w:lang w:eastAsia="zh-CN"/>
        </w:rPr>
        <w:t>Fair-trading</w:t>
      </w:r>
      <w:r>
        <w:rPr>
          <w:rFonts w:ascii="Times" w:eastAsiaTheme="minorEastAsia" w:hAnsi="Times" w:cs="Times"/>
          <w:color w:val="000000"/>
          <w:szCs w:val="24"/>
          <w:u w:color="000000"/>
          <w:lang w:eastAsia="zh-CN"/>
        </w:rPr>
        <w:t xml:space="preserve"> act 1986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9 as observed in</w:t>
      </w:r>
      <w:r>
        <w:rPr>
          <w:rFonts w:ascii="Times" w:eastAsiaTheme="minorEastAsia" w:hAnsi="Times" w:cs="Times"/>
          <w:b/>
          <w:bCs/>
          <w:color w:val="000000"/>
          <w:szCs w:val="24"/>
          <w:u w:color="000000"/>
          <w:lang w:eastAsia="zh-CN"/>
        </w:rPr>
        <w:t xml:space="preserve"> Taylor Bros Ltd v Taylors Group Ltd</w:t>
      </w:r>
      <w:r>
        <w:rPr>
          <w:rStyle w:val="FootnoteReference"/>
          <w:rFonts w:ascii="Times" w:eastAsiaTheme="minorEastAsia" w:hAnsi="Times" w:cs="Times"/>
          <w:b/>
          <w:bCs/>
          <w:color w:val="000000"/>
          <w:szCs w:val="24"/>
          <w:u w:color="000000"/>
          <w:lang w:eastAsia="zh-CN"/>
        </w:rPr>
        <w:footnoteReference w:id="10"/>
      </w:r>
      <w:r>
        <w:rPr>
          <w:rFonts w:ascii="Times" w:eastAsiaTheme="minorEastAsia" w:hAnsi="Times" w:cs="Times"/>
          <w:color w:val="000000"/>
          <w:szCs w:val="24"/>
          <w:u w:color="000000"/>
          <w:lang w:eastAsia="zh-CN"/>
        </w:rPr>
        <w:t>.</w:t>
      </w:r>
    </w:p>
    <w:p w14:paraId="4D717346"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p>
    <w:p w14:paraId="14601A73" w14:textId="0ACA9E8D"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r>
        <w:rPr>
          <w:rFonts w:ascii="Times" w:eastAsiaTheme="minorEastAsia" w:hAnsi="Times" w:cs="Times"/>
          <w:color w:val="000000"/>
          <w:szCs w:val="24"/>
          <w:u w:color="000000"/>
          <w:lang w:eastAsia="zh-CN"/>
        </w:rPr>
        <w:t xml:space="preserve">In conclusion, ’Kill Adventures Limited’ meets all 3 requirements of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22 of the Companies Act 1993, therefore it is likely to be approved by the name registered. </w:t>
      </w:r>
      <w:r>
        <w:rPr>
          <w:rFonts w:ascii="Times" w:eastAsiaTheme="minorEastAsia" w:hAnsi="Times" w:cs="Times"/>
          <w:color w:val="000000"/>
          <w:szCs w:val="24"/>
          <w:u w:color="000000"/>
          <w:lang w:eastAsia="zh-CN"/>
        </w:rPr>
        <w:t>However,</w:t>
      </w:r>
      <w:r>
        <w:rPr>
          <w:rFonts w:ascii="Times" w:eastAsiaTheme="minorEastAsia" w:hAnsi="Times" w:cs="Times"/>
          <w:color w:val="000000"/>
          <w:szCs w:val="24"/>
          <w:u w:color="000000"/>
          <w:lang w:eastAsia="zh-CN"/>
        </w:rPr>
        <w:t xml:space="preserve"> the company should be wary of breaching the tort of passing off or the </w:t>
      </w:r>
      <w:r>
        <w:rPr>
          <w:rFonts w:ascii="Times" w:eastAsiaTheme="minorEastAsia" w:hAnsi="Times" w:cs="Times"/>
          <w:color w:val="000000"/>
          <w:szCs w:val="24"/>
          <w:u w:color="000000"/>
          <w:lang w:eastAsia="zh-CN"/>
        </w:rPr>
        <w:t>F</w:t>
      </w:r>
      <w:r>
        <w:rPr>
          <w:rFonts w:ascii="Times" w:eastAsiaTheme="minorEastAsia" w:hAnsi="Times" w:cs="Times"/>
          <w:color w:val="000000"/>
          <w:szCs w:val="24"/>
          <w:u w:color="000000"/>
          <w:lang w:eastAsia="zh-CN"/>
        </w:rPr>
        <w:t>air</w:t>
      </w:r>
      <w:r>
        <w:rPr>
          <w:rFonts w:ascii="Times" w:eastAsiaTheme="minorEastAsia" w:hAnsi="Times" w:cs="Times"/>
          <w:color w:val="000000"/>
          <w:szCs w:val="24"/>
          <w:u w:color="000000"/>
          <w:lang w:eastAsia="zh-CN"/>
        </w:rPr>
        <w:t>-</w:t>
      </w:r>
      <w:r>
        <w:rPr>
          <w:rFonts w:ascii="Times" w:eastAsiaTheme="minorEastAsia" w:hAnsi="Times" w:cs="Times"/>
          <w:color w:val="000000"/>
          <w:szCs w:val="24"/>
          <w:u w:color="000000"/>
          <w:lang w:eastAsia="zh-CN"/>
        </w:rPr>
        <w:t xml:space="preserve">trading act 1986 </w:t>
      </w:r>
      <w:r w:rsidR="00400C1B">
        <w:rPr>
          <w:rFonts w:eastAsiaTheme="minorEastAsia"/>
          <w:color w:val="000000"/>
          <w:szCs w:val="24"/>
          <w:u w:color="000000"/>
          <w:lang w:eastAsia="zh-CN"/>
        </w:rPr>
        <w:t>Section</w:t>
      </w:r>
      <w:r>
        <w:rPr>
          <w:rFonts w:ascii="Times" w:eastAsiaTheme="minorEastAsia" w:hAnsi="Times" w:cs="Times"/>
          <w:color w:val="000000"/>
          <w:szCs w:val="24"/>
          <w:u w:color="000000"/>
          <w:lang w:eastAsia="zh-CN"/>
        </w:rPr>
        <w:t xml:space="preserve"> 9.</w:t>
      </w:r>
    </w:p>
    <w:p w14:paraId="45E37555" w14:textId="77777777" w:rsidR="00A54AE4" w:rsidRDefault="00A54AE4" w:rsidP="00A54AE4">
      <w:pPr>
        <w:autoSpaceDE w:val="0"/>
        <w:autoSpaceDN w:val="0"/>
        <w:adjustRightInd w:val="0"/>
        <w:spacing w:line="280" w:lineRule="atLeast"/>
        <w:jc w:val="left"/>
        <w:rPr>
          <w:rFonts w:ascii="Times" w:eastAsiaTheme="minorEastAsia" w:hAnsi="Times" w:cs="Times"/>
          <w:color w:val="000000"/>
          <w:szCs w:val="24"/>
          <w:u w:color="000000"/>
          <w:lang w:eastAsia="zh-CN"/>
        </w:rPr>
      </w:pPr>
    </w:p>
    <w:p w14:paraId="421929A0" w14:textId="77777777" w:rsidR="00A54AE4" w:rsidRDefault="00A54AE4" w:rsidP="00A54AE4">
      <w:pPr>
        <w:autoSpaceDE w:val="0"/>
        <w:autoSpaceDN w:val="0"/>
        <w:adjustRightInd w:val="0"/>
        <w:spacing w:after="200" w:line="276" w:lineRule="auto"/>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QUESTION THREE</w:t>
      </w:r>
    </w:p>
    <w:p w14:paraId="5A5EC09B" w14:textId="77777777" w:rsidR="00A54AE4" w:rsidRDefault="00A54AE4" w:rsidP="00A54AE4">
      <w:pPr>
        <w:autoSpaceDE w:val="0"/>
        <w:autoSpaceDN w:val="0"/>
        <w:adjustRightInd w:val="0"/>
        <w:spacing w:after="200" w:line="276" w:lineRule="auto"/>
        <w:ind w:right="-720"/>
        <w:rPr>
          <w:rFonts w:eastAsiaTheme="minorEastAsia"/>
          <w:b/>
          <w:bCs/>
          <w:color w:val="000000"/>
          <w:szCs w:val="24"/>
          <w:u w:color="000000"/>
          <w:lang w:eastAsia="zh-CN"/>
        </w:rPr>
      </w:pPr>
      <w:r>
        <w:rPr>
          <w:rFonts w:eastAsiaTheme="minorEastAsia"/>
          <w:color w:val="000000"/>
          <w:szCs w:val="24"/>
          <w:u w:color="000000"/>
          <w:lang w:eastAsia="zh-CN"/>
        </w:rPr>
        <w:t>B</w:t>
      </w:r>
      <w:r>
        <w:rPr>
          <w:rFonts w:eastAsiaTheme="minorEastAsia"/>
          <w:b/>
          <w:bCs/>
          <w:color w:val="000000"/>
          <w:szCs w:val="24"/>
          <w:u w:color="000000"/>
          <w:lang w:eastAsia="zh-CN"/>
        </w:rPr>
        <w:t xml:space="preserve">eta Builders Ltd (BBL) is a medium sized building company. BBL was incorporated by Charles Cook and Denise Downs, who were the original directors and shareholders. Five years ago, they decided to ‘grow’ the company by increasing the share capital of BBL and sold 60% of the shares in BBL to Alpha Holdings Ltd (Alpha). </w:t>
      </w:r>
    </w:p>
    <w:p w14:paraId="000FE037" w14:textId="77777777" w:rsidR="00A54AE4" w:rsidRDefault="00A54AE4" w:rsidP="00A54AE4">
      <w:pPr>
        <w:autoSpaceDE w:val="0"/>
        <w:autoSpaceDN w:val="0"/>
        <w:adjustRightInd w:val="0"/>
        <w:spacing w:after="200" w:line="276" w:lineRule="auto"/>
        <w:ind w:right="-720"/>
        <w:rPr>
          <w:rFonts w:eastAsiaTheme="minorEastAsia"/>
          <w:b/>
          <w:bCs/>
          <w:color w:val="000000"/>
          <w:szCs w:val="24"/>
          <w:u w:color="000000"/>
          <w:lang w:eastAsia="zh-CN"/>
        </w:rPr>
      </w:pPr>
      <w:r>
        <w:rPr>
          <w:rFonts w:eastAsiaTheme="minorEastAsia"/>
          <w:b/>
          <w:bCs/>
          <w:color w:val="000000"/>
          <w:szCs w:val="24"/>
          <w:u w:color="000000"/>
          <w:lang w:eastAsia="zh-CN"/>
        </w:rPr>
        <w:t xml:space="preserve">Charles and Denise retain the balance of the shares and remain as directors. Alpha arrange for Eric Evans and Frank Foote to be appointed as directors of BBL. Both Eric and Frank are also directors of Alpha. The fifth director is Geraldine Green, who is a partner at a local law firm. </w:t>
      </w:r>
      <w:bookmarkStart w:id="0" w:name="_GoBack"/>
      <w:bookmarkEnd w:id="0"/>
    </w:p>
    <w:p w14:paraId="7C1952A7" w14:textId="77777777" w:rsidR="00A54AE4" w:rsidRDefault="00A54AE4" w:rsidP="00A54AE4">
      <w:pPr>
        <w:autoSpaceDE w:val="0"/>
        <w:autoSpaceDN w:val="0"/>
        <w:adjustRightInd w:val="0"/>
        <w:spacing w:after="200" w:line="276" w:lineRule="auto"/>
        <w:ind w:right="-720"/>
        <w:rPr>
          <w:rFonts w:eastAsiaTheme="minorEastAsia"/>
          <w:b/>
          <w:bCs/>
          <w:color w:val="000000"/>
          <w:szCs w:val="24"/>
          <w:u w:color="000000"/>
          <w:lang w:eastAsia="zh-CN"/>
        </w:rPr>
      </w:pPr>
      <w:r>
        <w:rPr>
          <w:rFonts w:eastAsiaTheme="minorEastAsia"/>
          <w:b/>
          <w:bCs/>
          <w:color w:val="000000"/>
          <w:szCs w:val="24"/>
          <w:u w:color="000000"/>
          <w:lang w:eastAsia="zh-CN"/>
        </w:rPr>
        <w:t xml:space="preserve">On the recommendation of Alpha, Eric and Frank suggest to the board of BBL that it should acquire a new building in Wellington. The purchase price for the building is $6.5 million. Geraldine also supports the purchase and therefore three of the five board members are in favour of the new acquisition and BBL proceeds with the purchase. It turns out that the building needed substantial strengthening work that appropriate pre-purchase due diligence checks would have uncovered. In addition, BBL borrowed funds from its bank to buy the building. However, the costs of servicing this loan and the costs of the unexpected strengthening work result in BBL not paying deducted PAYE and GST amounts to the IRD for 6 months in order to pay other creditors. The IRD eventually appoints a liquidator on the basis that the company is insolvent. </w:t>
      </w:r>
    </w:p>
    <w:p w14:paraId="7284C51B"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Required:</w:t>
      </w:r>
    </w:p>
    <w:p w14:paraId="6A8A8EC6" w14:textId="77777777" w:rsidR="00A54AE4" w:rsidRDefault="00A54AE4" w:rsidP="00A54AE4">
      <w:pPr>
        <w:autoSpaceDE w:val="0"/>
        <w:autoSpaceDN w:val="0"/>
        <w:adjustRightInd w:val="0"/>
        <w:spacing w:after="200" w:line="276" w:lineRule="auto"/>
        <w:ind w:right="-766"/>
        <w:jc w:val="left"/>
        <w:rPr>
          <w:rFonts w:eastAsiaTheme="minorEastAsia"/>
          <w:b/>
          <w:bCs/>
          <w:color w:val="000000"/>
          <w:szCs w:val="24"/>
          <w:u w:color="000000"/>
          <w:lang w:eastAsia="zh-CN"/>
        </w:rPr>
      </w:pPr>
      <w:r>
        <w:rPr>
          <w:rFonts w:eastAsiaTheme="minorEastAsia"/>
          <w:b/>
          <w:bCs/>
          <w:color w:val="000000"/>
          <w:szCs w:val="24"/>
          <w:u w:color="000000"/>
          <w:lang w:eastAsia="zh-CN"/>
        </w:rPr>
        <w:t xml:space="preserve">Explain what directors’ duties may been breached and who may have breached them.  </w:t>
      </w:r>
    </w:p>
    <w:p w14:paraId="60942668" w14:textId="77777777" w:rsidR="00A54AE4" w:rsidRDefault="00A54AE4" w:rsidP="00A54AE4">
      <w:pPr>
        <w:autoSpaceDE w:val="0"/>
        <w:autoSpaceDN w:val="0"/>
        <w:adjustRightInd w:val="0"/>
        <w:spacing w:after="200" w:line="276" w:lineRule="auto"/>
        <w:ind w:right="-766"/>
        <w:jc w:val="left"/>
        <w:rPr>
          <w:rFonts w:eastAsiaTheme="minorEastAsia"/>
          <w:b/>
          <w:bCs/>
          <w:color w:val="000000"/>
          <w:szCs w:val="24"/>
          <w:u w:val="single" w:color="000000"/>
          <w:lang w:eastAsia="zh-CN"/>
        </w:rPr>
      </w:pPr>
      <w:r>
        <w:rPr>
          <w:rFonts w:eastAsiaTheme="minorEastAsia"/>
          <w:b/>
          <w:bCs/>
          <w:color w:val="000000"/>
          <w:szCs w:val="24"/>
          <w:u w:val="single" w:color="000000"/>
          <w:lang w:eastAsia="zh-CN"/>
        </w:rPr>
        <w:t>Suggested maximum word count: 700 words</w:t>
      </w:r>
    </w:p>
    <w:p w14:paraId="2E9253E0" w14:textId="77777777" w:rsidR="00A54AE4" w:rsidRDefault="00A54AE4" w:rsidP="00A54AE4">
      <w:pPr>
        <w:autoSpaceDE w:val="0"/>
        <w:autoSpaceDN w:val="0"/>
        <w:adjustRightInd w:val="0"/>
        <w:spacing w:after="200"/>
        <w:ind w:left="7797" w:firstLine="371"/>
        <w:jc w:val="left"/>
        <w:rPr>
          <w:rFonts w:eastAsiaTheme="minorEastAsia"/>
          <w:b/>
          <w:bCs/>
          <w:color w:val="000000"/>
          <w:szCs w:val="24"/>
          <w:u w:color="000000"/>
          <w:lang w:eastAsia="zh-CN"/>
        </w:rPr>
      </w:pPr>
      <w:r>
        <w:rPr>
          <w:rFonts w:eastAsiaTheme="minorEastAsia"/>
          <w:b/>
          <w:bCs/>
          <w:color w:val="000000"/>
          <w:szCs w:val="24"/>
          <w:u w:color="000000"/>
          <w:lang w:eastAsia="zh-CN"/>
        </w:rPr>
        <w:t xml:space="preserve"> [50 MARKS]</w:t>
      </w:r>
    </w:p>
    <w:p w14:paraId="3EA88806"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lastRenderedPageBreak/>
        <w:t>Issue</w:t>
      </w:r>
    </w:p>
    <w:p w14:paraId="62772B3D" w14:textId="77777777"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What director duties may have been breached by the directors of Beta Builders Ltd (BBL), who may have breached these duties.</w:t>
      </w:r>
    </w:p>
    <w:p w14:paraId="10C2B3EE" w14:textId="77777777" w:rsidR="00A54AE4" w:rsidRDefault="00A54AE4" w:rsidP="00A54AE4">
      <w:pPr>
        <w:autoSpaceDE w:val="0"/>
        <w:autoSpaceDN w:val="0"/>
        <w:adjustRightInd w:val="0"/>
        <w:ind w:right="-720"/>
        <w:rPr>
          <w:rFonts w:eastAsiaTheme="minorEastAsia"/>
          <w:color w:val="000000"/>
          <w:szCs w:val="24"/>
          <w:u w:color="000000"/>
          <w:lang w:eastAsia="zh-CN"/>
        </w:rPr>
      </w:pPr>
    </w:p>
    <w:p w14:paraId="187D731A"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Law</w:t>
      </w:r>
    </w:p>
    <w:p w14:paraId="1FB5646B" w14:textId="77777777"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Companies act 1993:</w:t>
      </w:r>
    </w:p>
    <w:p w14:paraId="0CDA2AA6" w14:textId="42146407"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126(1)b(</w:t>
      </w:r>
      <w:proofErr w:type="spellStart"/>
      <w:r>
        <w:rPr>
          <w:rFonts w:eastAsiaTheme="minorEastAsia"/>
          <w:color w:val="000000"/>
          <w:szCs w:val="24"/>
          <w:u w:color="000000"/>
          <w:lang w:eastAsia="zh-CN"/>
        </w:rPr>
        <w:t>i</w:t>
      </w:r>
      <w:proofErr w:type="spellEnd"/>
      <w:r>
        <w:rPr>
          <w:rFonts w:eastAsiaTheme="minorEastAsia"/>
          <w:color w:val="000000"/>
          <w:szCs w:val="24"/>
          <w:u w:color="000000"/>
          <w:lang w:eastAsia="zh-CN"/>
        </w:rPr>
        <w:t>)and(ii), In this Act, </w:t>
      </w:r>
      <w:r>
        <w:rPr>
          <w:rFonts w:eastAsiaTheme="minorEastAsia"/>
          <w:b/>
          <w:bCs/>
          <w:color w:val="000000"/>
          <w:szCs w:val="24"/>
          <w:u w:color="000000"/>
          <w:lang w:eastAsia="zh-CN"/>
        </w:rPr>
        <w:t>director</w:t>
      </w:r>
      <w:r>
        <w:rPr>
          <w:rFonts w:eastAsiaTheme="minorEastAsia"/>
          <w:color w:val="000000"/>
          <w:szCs w:val="24"/>
          <w:u w:color="000000"/>
          <w:lang w:eastAsia="zh-CN"/>
        </w:rPr>
        <w:t>, in relation to a company, includes a person in accordance with whose directions or instructions an acting director may be required or is accustomed to act;  Alpha Holdings Ltd (Alpha) would be deemed a shadow director as they control Eric and Frank.</w:t>
      </w:r>
    </w:p>
    <w:p w14:paraId="28A2EA9D" w14:textId="610F5803"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135, A director must not— agree to the business of the company being carried on in a manner likely to create a substantial risk of serious loss to the company's creditors</w:t>
      </w:r>
    </w:p>
    <w:p w14:paraId="0D0F4761" w14:textId="0EF9F6C2"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136, A director must not agree to the company incurring an obligation unless the director believes at that time, on reasonable grounds, the company will be able to perform the obligation when it is required to</w:t>
      </w:r>
    </w:p>
    <w:p w14:paraId="1E320C83" w14:textId="77D70579"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137, A director must exercise the care, diligence, and skill that a reasonable director would exercise in the same circumstances.</w:t>
      </w:r>
    </w:p>
    <w:p w14:paraId="0116C0E1" w14:textId="7E4E0415"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138, A director may rely on reports, statements and financial data etc. produced by a competent Employee Professional advisor or expert Specialist director or board committee, if the director Acts in good faith; and Makes proper inquiry where the inquiry is necessary in the circumstances; and Has no knowledge that such reliance is unwarranted</w:t>
      </w:r>
    </w:p>
    <w:p w14:paraId="60F22F8F" w14:textId="77777777" w:rsidR="00A54AE4" w:rsidRDefault="00A54AE4" w:rsidP="00A54AE4">
      <w:pPr>
        <w:autoSpaceDE w:val="0"/>
        <w:autoSpaceDN w:val="0"/>
        <w:adjustRightInd w:val="0"/>
        <w:ind w:right="-720"/>
        <w:rPr>
          <w:rFonts w:eastAsiaTheme="minorEastAsia"/>
          <w:color w:val="000000"/>
          <w:szCs w:val="24"/>
          <w:u w:color="000000"/>
          <w:lang w:eastAsia="zh-CN"/>
        </w:rPr>
      </w:pPr>
    </w:p>
    <w:p w14:paraId="46176727"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p>
    <w:p w14:paraId="0ADD1F2F"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Application</w:t>
      </w:r>
    </w:p>
    <w:p w14:paraId="600203A5"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p>
    <w:p w14:paraId="4852CC46" w14:textId="146461A6" w:rsidR="00A54AE4" w:rsidRDefault="00A54AE4" w:rsidP="00A54AE4">
      <w:pPr>
        <w:autoSpaceDE w:val="0"/>
        <w:autoSpaceDN w:val="0"/>
        <w:adjustRightInd w:val="0"/>
        <w:ind w:right="-720"/>
        <w:rPr>
          <w:rFonts w:eastAsiaTheme="minorEastAsia"/>
          <w:b/>
          <w:bCs/>
          <w:i/>
          <w:iCs/>
          <w:color w:val="000000"/>
          <w:szCs w:val="24"/>
          <w:u w:color="000000"/>
          <w:lang w:eastAsia="zh-CN"/>
        </w:rPr>
      </w:pPr>
      <w:r>
        <w:rPr>
          <w:rFonts w:eastAsiaTheme="minorEastAsia"/>
          <w:color w:val="000000"/>
          <w:szCs w:val="24"/>
          <w:u w:color="000000"/>
          <w:lang w:eastAsia="zh-CN"/>
        </w:rPr>
        <w:t xml:space="preserve">By continuing to trade for 6 months after BBL was aware that they could not meet their financial obligations (deducted PAYE and GST amounts to the IRD), all the directors of BBL - Charles, Denise, Eric, Frank, Geraldine - are liable for breaching their duty of liquidity to BBL under </w:t>
      </w:r>
      <w:r w:rsidR="00400C1B">
        <w:rPr>
          <w:rFonts w:eastAsiaTheme="minorEastAsia"/>
          <w:color w:val="000000"/>
          <w:szCs w:val="24"/>
          <w:u w:color="000000"/>
          <w:lang w:eastAsia="zh-CN"/>
        </w:rPr>
        <w:t>Section</w:t>
      </w:r>
      <w:r>
        <w:rPr>
          <w:rFonts w:eastAsiaTheme="minorEastAsia"/>
          <w:color w:val="000000"/>
          <w:szCs w:val="24"/>
          <w:u w:color="000000"/>
          <w:lang w:eastAsia="zh-CN"/>
        </w:rPr>
        <w:t xml:space="preserve"> 135 as they have engaged in reckless trading. By grounds of </w:t>
      </w:r>
      <w:r>
        <w:rPr>
          <w:rFonts w:eastAsiaTheme="minorEastAsia"/>
          <w:b/>
          <w:bCs/>
          <w:color w:val="000000"/>
          <w:szCs w:val="24"/>
          <w:u w:color="000000"/>
          <w:lang w:eastAsia="zh-CN"/>
        </w:rPr>
        <w:t>Syntax Holdings (Auckland) Ltd (in liquidation) v Bishop</w:t>
      </w:r>
      <w:r>
        <w:rPr>
          <w:rStyle w:val="FootnoteReference"/>
          <w:rFonts w:eastAsiaTheme="minorEastAsia"/>
          <w:b/>
          <w:bCs/>
          <w:color w:val="000000"/>
          <w:szCs w:val="24"/>
          <w:u w:color="000000"/>
          <w:lang w:eastAsia="zh-CN"/>
        </w:rPr>
        <w:footnoteReference w:id="11"/>
      </w:r>
      <w:r>
        <w:rPr>
          <w:rFonts w:eastAsiaTheme="minorEastAsia"/>
          <w:color w:val="000000"/>
          <w:szCs w:val="24"/>
          <w:u w:color="000000"/>
          <w:lang w:eastAsia="zh-CN"/>
        </w:rPr>
        <w:t>, when BBL began using money owed to the IRD to meet their financial obligations to other creditors, a reasonable director, taking a “sober assessment” would have liquidated the company to prevent creditors becoming exposed to illegitimate risk. As a result</w:t>
      </w:r>
      <w:r>
        <w:rPr>
          <w:rFonts w:eastAsiaTheme="minorEastAsia"/>
          <w:color w:val="000000"/>
          <w:szCs w:val="24"/>
          <w:u w:color="000000"/>
          <w:lang w:eastAsia="zh-CN"/>
        </w:rPr>
        <w:t>,</w:t>
      </w:r>
      <w:r>
        <w:rPr>
          <w:rFonts w:eastAsiaTheme="minorEastAsia"/>
          <w:color w:val="000000"/>
          <w:szCs w:val="24"/>
          <w:u w:color="000000"/>
          <w:lang w:eastAsia="zh-CN"/>
        </w:rPr>
        <w:t xml:space="preserve"> the directors may be personally liable for the debts incurred during this period.</w:t>
      </w:r>
    </w:p>
    <w:p w14:paraId="2B737285" w14:textId="77777777" w:rsidR="00A54AE4" w:rsidRDefault="00A54AE4" w:rsidP="00A54AE4">
      <w:pPr>
        <w:autoSpaceDE w:val="0"/>
        <w:autoSpaceDN w:val="0"/>
        <w:adjustRightInd w:val="0"/>
        <w:ind w:right="-720"/>
        <w:rPr>
          <w:rFonts w:eastAsiaTheme="minorEastAsia"/>
          <w:b/>
          <w:bCs/>
          <w:i/>
          <w:iCs/>
          <w:color w:val="000000"/>
          <w:szCs w:val="24"/>
          <w:u w:color="000000"/>
          <w:lang w:eastAsia="zh-CN"/>
        </w:rPr>
      </w:pPr>
    </w:p>
    <w:p w14:paraId="06FD3109" w14:textId="079C386A" w:rsidR="00A54AE4" w:rsidRDefault="00A54AE4" w:rsidP="00A54AE4">
      <w:pPr>
        <w:autoSpaceDE w:val="0"/>
        <w:autoSpaceDN w:val="0"/>
        <w:adjustRightInd w:val="0"/>
        <w:ind w:right="-720"/>
        <w:rPr>
          <w:rFonts w:eastAsiaTheme="minorEastAsia"/>
          <w:b/>
          <w:bCs/>
          <w:i/>
          <w:iCs/>
          <w:color w:val="000000"/>
          <w:szCs w:val="24"/>
          <w:u w:color="000000"/>
          <w:lang w:eastAsia="zh-CN"/>
        </w:rPr>
      </w:pPr>
      <w:r>
        <w:rPr>
          <w:rFonts w:eastAsiaTheme="minorEastAsia"/>
          <w:color w:val="000000"/>
          <w:szCs w:val="24"/>
          <w:u w:color="000000"/>
          <w:lang w:eastAsia="zh-CN"/>
        </w:rPr>
        <w:t xml:space="preserve">BBL directors Eric, Frank, Geraldine and Alpha (as a shadow director) engaged in the acquisition for the building to the value of $6.5 million using a bank loan. However, BBL did not have the financial capacity to finance the servicing of this loan. </w:t>
      </w:r>
      <w:r w:rsidR="00400C1B">
        <w:rPr>
          <w:rFonts w:eastAsiaTheme="minorEastAsia"/>
          <w:color w:val="000000"/>
          <w:szCs w:val="24"/>
          <w:u w:color="000000"/>
          <w:lang w:eastAsia="zh-CN"/>
        </w:rPr>
        <w:t xml:space="preserve">Eric, Frank, Geraldine and Alpha </w:t>
      </w:r>
      <w:r>
        <w:rPr>
          <w:rFonts w:eastAsiaTheme="minorEastAsia"/>
          <w:color w:val="000000"/>
          <w:szCs w:val="24"/>
          <w:u w:color="000000"/>
          <w:lang w:eastAsia="zh-CN"/>
        </w:rPr>
        <w:t xml:space="preserve">breached the duty of liquidity to BBL under </w:t>
      </w:r>
      <w:r w:rsidR="00400C1B">
        <w:rPr>
          <w:rFonts w:eastAsiaTheme="minorEastAsia"/>
          <w:color w:val="000000"/>
          <w:szCs w:val="24"/>
          <w:u w:color="000000"/>
          <w:lang w:eastAsia="zh-CN"/>
        </w:rPr>
        <w:t>S</w:t>
      </w:r>
      <w:r>
        <w:rPr>
          <w:rFonts w:eastAsiaTheme="minorEastAsia"/>
          <w:color w:val="000000"/>
          <w:szCs w:val="24"/>
          <w:u w:color="000000"/>
          <w:lang w:eastAsia="zh-CN"/>
        </w:rPr>
        <w:t xml:space="preserve">ection 136 as they have incurred a major financial obligation without grounds to believe that BBL could meet that financial obligation. On the basis of </w:t>
      </w:r>
      <w:r>
        <w:rPr>
          <w:rFonts w:eastAsiaTheme="minorEastAsia"/>
          <w:b/>
          <w:bCs/>
          <w:color w:val="000000"/>
          <w:szCs w:val="24"/>
          <w:u w:color="000000"/>
          <w:lang w:eastAsia="zh-CN"/>
        </w:rPr>
        <w:t xml:space="preserve">Re Wait Investments Ltd (in </w:t>
      </w:r>
      <w:proofErr w:type="spellStart"/>
      <w:r>
        <w:rPr>
          <w:rFonts w:eastAsiaTheme="minorEastAsia"/>
          <w:b/>
          <w:bCs/>
          <w:color w:val="000000"/>
          <w:szCs w:val="24"/>
          <w:u w:color="000000"/>
          <w:lang w:eastAsia="zh-CN"/>
        </w:rPr>
        <w:t>liq</w:t>
      </w:r>
      <w:proofErr w:type="spellEnd"/>
      <w:r>
        <w:rPr>
          <w:rFonts w:eastAsiaTheme="minorEastAsia"/>
          <w:b/>
          <w:bCs/>
          <w:color w:val="000000"/>
          <w:szCs w:val="24"/>
          <w:u w:color="000000"/>
          <w:lang w:eastAsia="zh-CN"/>
        </w:rPr>
        <w:t>)</w:t>
      </w:r>
      <w:r>
        <w:rPr>
          <w:rStyle w:val="FootnoteReference"/>
          <w:rFonts w:eastAsiaTheme="minorEastAsia"/>
          <w:b/>
          <w:bCs/>
          <w:color w:val="000000"/>
          <w:szCs w:val="24"/>
          <w:u w:color="000000"/>
          <w:lang w:eastAsia="zh-CN"/>
        </w:rPr>
        <w:footnoteReference w:id="12"/>
      </w:r>
      <w:r>
        <w:rPr>
          <w:rFonts w:eastAsiaTheme="minorEastAsia"/>
          <w:b/>
          <w:bCs/>
          <w:color w:val="000000"/>
          <w:szCs w:val="24"/>
          <w:u w:color="000000"/>
          <w:lang w:eastAsia="zh-CN"/>
        </w:rPr>
        <w:t xml:space="preserve">, </w:t>
      </w:r>
      <w:r>
        <w:rPr>
          <w:rFonts w:eastAsiaTheme="minorEastAsia"/>
          <w:color w:val="000000"/>
          <w:szCs w:val="24"/>
          <w:u w:color="000000"/>
          <w:lang w:eastAsia="zh-CN"/>
        </w:rPr>
        <w:t>the decision would be considered unduly optimistic and without proper foundation as it was unreasonable to enter into this acquisition without organised financing. As a result</w:t>
      </w:r>
      <w:r>
        <w:rPr>
          <w:rFonts w:eastAsiaTheme="minorEastAsia"/>
          <w:color w:val="000000"/>
          <w:szCs w:val="24"/>
          <w:u w:color="000000"/>
          <w:lang w:eastAsia="zh-CN"/>
        </w:rPr>
        <w:t>,</w:t>
      </w:r>
      <w:r>
        <w:rPr>
          <w:rFonts w:eastAsiaTheme="minorEastAsia"/>
          <w:color w:val="000000"/>
          <w:szCs w:val="24"/>
          <w:u w:color="000000"/>
          <w:lang w:eastAsia="zh-CN"/>
        </w:rPr>
        <w:t xml:space="preserve"> the directors may be personally liable for the debts </w:t>
      </w:r>
      <w:r>
        <w:rPr>
          <w:rFonts w:eastAsiaTheme="minorEastAsia"/>
          <w:color w:val="000000"/>
          <w:szCs w:val="24"/>
          <w:u w:color="000000"/>
          <w:lang w:eastAsia="zh-CN"/>
        </w:rPr>
        <w:t>of BBL</w:t>
      </w:r>
      <w:r>
        <w:rPr>
          <w:rFonts w:eastAsiaTheme="minorEastAsia"/>
          <w:color w:val="000000"/>
          <w:szCs w:val="24"/>
          <w:u w:color="000000"/>
          <w:lang w:eastAsia="zh-CN"/>
        </w:rPr>
        <w:t>.</w:t>
      </w:r>
    </w:p>
    <w:p w14:paraId="3A4EDC25" w14:textId="77777777" w:rsidR="00A54AE4" w:rsidRDefault="00A54AE4" w:rsidP="00A54AE4">
      <w:pPr>
        <w:autoSpaceDE w:val="0"/>
        <w:autoSpaceDN w:val="0"/>
        <w:adjustRightInd w:val="0"/>
        <w:ind w:right="-720"/>
        <w:rPr>
          <w:rFonts w:eastAsiaTheme="minorEastAsia"/>
          <w:color w:val="000000"/>
          <w:szCs w:val="24"/>
          <w:u w:color="000000"/>
          <w:lang w:eastAsia="zh-CN"/>
        </w:rPr>
      </w:pPr>
    </w:p>
    <w:p w14:paraId="4A0BCA36" w14:textId="77777777" w:rsidR="00400C1B"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 xml:space="preserve">By acting solely based off the recommendations of Alpha and without performing pre-purchase due diligence checks that a reasonable director would </w:t>
      </w:r>
      <w:r>
        <w:rPr>
          <w:rFonts w:eastAsiaTheme="minorEastAsia"/>
          <w:color w:val="000000"/>
          <w:szCs w:val="24"/>
          <w:u w:color="000000"/>
          <w:lang w:eastAsia="zh-CN"/>
        </w:rPr>
        <w:t xml:space="preserve">be </w:t>
      </w:r>
      <w:r>
        <w:rPr>
          <w:rFonts w:eastAsiaTheme="minorEastAsia"/>
          <w:color w:val="000000"/>
          <w:szCs w:val="24"/>
          <w:u w:color="000000"/>
          <w:lang w:eastAsia="zh-CN"/>
        </w:rPr>
        <w:t xml:space="preserve">expected </w:t>
      </w:r>
      <w:r>
        <w:rPr>
          <w:rFonts w:eastAsiaTheme="minorEastAsia"/>
          <w:color w:val="000000"/>
          <w:szCs w:val="24"/>
          <w:u w:color="000000"/>
          <w:lang w:eastAsia="zh-CN"/>
        </w:rPr>
        <w:t xml:space="preserve">to perform </w:t>
      </w:r>
      <w:r>
        <w:rPr>
          <w:rFonts w:eastAsiaTheme="minorEastAsia"/>
          <w:color w:val="000000"/>
          <w:szCs w:val="24"/>
          <w:u w:color="000000"/>
          <w:lang w:eastAsia="zh-CN"/>
        </w:rPr>
        <w:t xml:space="preserve">in that circumstance Eric, Frank and Geraldine breached </w:t>
      </w:r>
      <w:r>
        <w:rPr>
          <w:rFonts w:eastAsiaTheme="minorEastAsia"/>
          <w:color w:val="000000"/>
          <w:szCs w:val="24"/>
          <w:u w:color="000000"/>
          <w:lang w:eastAsia="zh-CN"/>
        </w:rPr>
        <w:t>their</w:t>
      </w:r>
      <w:r>
        <w:rPr>
          <w:rFonts w:eastAsiaTheme="minorEastAsia"/>
          <w:color w:val="000000"/>
          <w:szCs w:val="24"/>
          <w:u w:color="000000"/>
          <w:lang w:eastAsia="zh-CN"/>
        </w:rPr>
        <w:t xml:space="preserve"> duty of competence to BBL under section 137. </w:t>
      </w:r>
    </w:p>
    <w:p w14:paraId="7E6041EB" w14:textId="14A94407"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 xml:space="preserve">Additionally, it could be argued on the basis of  </w:t>
      </w:r>
      <w:r>
        <w:rPr>
          <w:rFonts w:eastAsiaTheme="minorEastAsia"/>
          <w:b/>
          <w:bCs/>
          <w:color w:val="000000"/>
          <w:szCs w:val="24"/>
          <w:u w:color="000000"/>
          <w:lang w:eastAsia="zh-CN"/>
        </w:rPr>
        <w:t>Davidson v Registrar of Companies</w:t>
      </w:r>
      <w:r>
        <w:rPr>
          <w:rStyle w:val="FootnoteReference"/>
          <w:rFonts w:eastAsiaTheme="minorEastAsia"/>
          <w:b/>
          <w:bCs/>
          <w:color w:val="000000"/>
          <w:szCs w:val="24"/>
          <w:u w:color="000000"/>
          <w:lang w:eastAsia="zh-CN"/>
        </w:rPr>
        <w:footnoteReference w:id="13"/>
      </w:r>
      <w:r>
        <w:rPr>
          <w:rFonts w:eastAsiaTheme="minorEastAsia"/>
          <w:b/>
          <w:bCs/>
          <w:color w:val="000000"/>
          <w:szCs w:val="24"/>
          <w:u w:color="000000"/>
          <w:lang w:eastAsia="zh-CN"/>
        </w:rPr>
        <w:t xml:space="preserve"> </w:t>
      </w:r>
      <w:r>
        <w:rPr>
          <w:rFonts w:eastAsiaTheme="minorEastAsia"/>
          <w:color w:val="000000"/>
          <w:szCs w:val="24"/>
          <w:u w:color="000000"/>
          <w:lang w:eastAsia="zh-CN"/>
        </w:rPr>
        <w:t xml:space="preserve">Geraldine did not meet the requirements of a reasonable director as he is unlikely to have the necessary skills to </w:t>
      </w:r>
      <w:r>
        <w:rPr>
          <w:rFonts w:eastAsiaTheme="minorEastAsia"/>
          <w:color w:val="000000"/>
          <w:szCs w:val="24"/>
          <w:u w:color="000000"/>
          <w:lang w:eastAsia="zh-CN"/>
        </w:rPr>
        <w:lastRenderedPageBreak/>
        <w:t xml:space="preserve">understand crucial information in BBL </w:t>
      </w:r>
      <w:r w:rsidR="00400C1B">
        <w:rPr>
          <w:rFonts w:eastAsiaTheme="minorEastAsia"/>
          <w:color w:val="000000"/>
          <w:szCs w:val="24"/>
          <w:u w:color="000000"/>
          <w:lang w:eastAsia="zh-CN"/>
        </w:rPr>
        <w:t>(</w:t>
      </w:r>
      <w:r>
        <w:rPr>
          <w:rFonts w:eastAsiaTheme="minorEastAsia"/>
          <w:color w:val="000000"/>
          <w:szCs w:val="24"/>
          <w:u w:color="000000"/>
          <w:lang w:eastAsia="zh-CN"/>
        </w:rPr>
        <w:t>a building company</w:t>
      </w:r>
      <w:r w:rsidR="00400C1B">
        <w:rPr>
          <w:rFonts w:eastAsiaTheme="minorEastAsia"/>
          <w:color w:val="000000"/>
          <w:szCs w:val="24"/>
          <w:u w:color="000000"/>
          <w:lang w:eastAsia="zh-CN"/>
        </w:rPr>
        <w:t>)</w:t>
      </w:r>
      <w:r>
        <w:rPr>
          <w:rFonts w:eastAsiaTheme="minorEastAsia"/>
          <w:color w:val="000000"/>
          <w:szCs w:val="24"/>
          <w:u w:color="000000"/>
          <w:lang w:eastAsia="zh-CN"/>
        </w:rPr>
        <w:t xml:space="preserve"> as he specialises in law - this may also extend to Eric and Frank depending on </w:t>
      </w:r>
      <w:r>
        <w:rPr>
          <w:rFonts w:eastAsiaTheme="minorEastAsia"/>
          <w:color w:val="000000"/>
          <w:szCs w:val="24"/>
          <w:u w:color="000000"/>
          <w:lang w:eastAsia="zh-CN"/>
        </w:rPr>
        <w:t>their</w:t>
      </w:r>
      <w:r>
        <w:rPr>
          <w:rFonts w:eastAsiaTheme="minorEastAsia"/>
          <w:color w:val="000000"/>
          <w:szCs w:val="24"/>
          <w:u w:color="000000"/>
          <w:lang w:eastAsia="zh-CN"/>
        </w:rPr>
        <w:t xml:space="preserve"> comprehension of building and construction. This is also a breach to section 137</w:t>
      </w:r>
      <w:r w:rsidR="00400C1B">
        <w:rPr>
          <w:rFonts w:eastAsiaTheme="minorEastAsia"/>
          <w:color w:val="000000"/>
          <w:szCs w:val="24"/>
          <w:u w:color="000000"/>
          <w:lang w:eastAsia="zh-CN"/>
        </w:rPr>
        <w:t xml:space="preserve"> as they took no steps to understand the necessary components of acquiring a building</w:t>
      </w:r>
      <w:r>
        <w:rPr>
          <w:rFonts w:eastAsiaTheme="minorEastAsia"/>
          <w:color w:val="000000"/>
          <w:szCs w:val="24"/>
          <w:u w:color="000000"/>
          <w:lang w:eastAsia="zh-CN"/>
        </w:rPr>
        <w:t>.</w:t>
      </w:r>
    </w:p>
    <w:p w14:paraId="4DCDC357" w14:textId="268216AB" w:rsidR="00A54AE4" w:rsidRDefault="00A54AE4" w:rsidP="00A54AE4">
      <w:pPr>
        <w:autoSpaceDE w:val="0"/>
        <w:autoSpaceDN w:val="0"/>
        <w:adjustRightInd w:val="0"/>
        <w:ind w:right="-720"/>
        <w:rPr>
          <w:rFonts w:eastAsiaTheme="minorEastAsia"/>
          <w:b/>
          <w:bCs/>
          <w:color w:val="000000"/>
          <w:szCs w:val="24"/>
          <w:u w:color="000000"/>
          <w:lang w:eastAsia="zh-CN"/>
        </w:rPr>
      </w:pPr>
      <w:r>
        <w:rPr>
          <w:rFonts w:eastAsiaTheme="minorEastAsia"/>
          <w:color w:val="000000"/>
          <w:szCs w:val="24"/>
          <w:u w:color="000000"/>
          <w:lang w:eastAsia="zh-CN"/>
        </w:rPr>
        <w:t xml:space="preserve">Unless Alpha is considered an expert in buildings and construction, Eric, Frank and Geraldine would not have a defence for </w:t>
      </w:r>
      <w:r w:rsidR="00400C1B">
        <w:rPr>
          <w:rFonts w:eastAsiaTheme="minorEastAsia"/>
          <w:color w:val="000000"/>
          <w:szCs w:val="24"/>
          <w:u w:color="000000"/>
          <w:lang w:eastAsia="zh-CN"/>
        </w:rPr>
        <w:t>S</w:t>
      </w:r>
      <w:r>
        <w:rPr>
          <w:rFonts w:eastAsiaTheme="minorEastAsia"/>
          <w:color w:val="000000"/>
          <w:szCs w:val="24"/>
          <w:u w:color="000000"/>
          <w:lang w:eastAsia="zh-CN"/>
        </w:rPr>
        <w:t xml:space="preserve">ection 137 under </w:t>
      </w:r>
      <w:r w:rsidR="00400C1B">
        <w:rPr>
          <w:rFonts w:eastAsiaTheme="minorEastAsia"/>
          <w:color w:val="000000"/>
          <w:szCs w:val="24"/>
          <w:u w:color="000000"/>
          <w:lang w:eastAsia="zh-CN"/>
        </w:rPr>
        <w:t>S</w:t>
      </w:r>
      <w:r>
        <w:rPr>
          <w:rFonts w:eastAsiaTheme="minorEastAsia"/>
          <w:color w:val="000000"/>
          <w:szCs w:val="24"/>
          <w:u w:color="000000"/>
          <w:lang w:eastAsia="zh-CN"/>
        </w:rPr>
        <w:t>ection 138, as there was no reasonable steps taken by these directors to ensure that the trust in Alpha’s recommendation is warranted (especially if they did not have a strong understanding of building)</w:t>
      </w:r>
      <w:r w:rsidR="00400C1B">
        <w:rPr>
          <w:rFonts w:eastAsiaTheme="minorEastAsia"/>
          <w:color w:val="000000"/>
          <w:szCs w:val="24"/>
          <w:u w:color="000000"/>
          <w:lang w:eastAsia="zh-CN"/>
        </w:rPr>
        <w:t>.</w:t>
      </w:r>
      <w:r>
        <w:rPr>
          <w:rFonts w:eastAsiaTheme="minorEastAsia"/>
          <w:color w:val="000000"/>
          <w:szCs w:val="24"/>
          <w:u w:color="000000"/>
          <w:lang w:eastAsia="zh-CN"/>
        </w:rPr>
        <w:t xml:space="preserve"> </w:t>
      </w:r>
      <w:r w:rsidR="00400C1B">
        <w:rPr>
          <w:rFonts w:eastAsiaTheme="minorEastAsia"/>
          <w:color w:val="000000"/>
          <w:szCs w:val="24"/>
          <w:u w:color="000000"/>
          <w:lang w:eastAsia="zh-CN"/>
        </w:rPr>
        <w:t>T</w:t>
      </w:r>
      <w:r>
        <w:rPr>
          <w:rFonts w:eastAsiaTheme="minorEastAsia"/>
          <w:color w:val="000000"/>
          <w:szCs w:val="24"/>
          <w:u w:color="000000"/>
          <w:lang w:eastAsia="zh-CN"/>
        </w:rPr>
        <w:t xml:space="preserve">his statement is made on the basis of </w:t>
      </w:r>
      <w:proofErr w:type="spellStart"/>
      <w:r>
        <w:rPr>
          <w:rFonts w:eastAsiaTheme="minorEastAsia"/>
          <w:b/>
          <w:bCs/>
          <w:color w:val="000000"/>
          <w:szCs w:val="24"/>
          <w:u w:color="000000"/>
          <w:lang w:eastAsia="zh-CN"/>
        </w:rPr>
        <w:t>Goatland</w:t>
      </w:r>
      <w:proofErr w:type="spellEnd"/>
      <w:r>
        <w:rPr>
          <w:rFonts w:eastAsiaTheme="minorEastAsia"/>
          <w:b/>
          <w:bCs/>
          <w:color w:val="000000"/>
          <w:szCs w:val="24"/>
          <w:u w:color="000000"/>
          <w:lang w:eastAsia="zh-CN"/>
        </w:rPr>
        <w:t xml:space="preserve"> Ltd v Borrell</w:t>
      </w:r>
      <w:r>
        <w:rPr>
          <w:rStyle w:val="FootnoteReference"/>
          <w:rFonts w:eastAsiaTheme="minorEastAsia"/>
          <w:b/>
          <w:bCs/>
          <w:color w:val="000000"/>
          <w:szCs w:val="24"/>
          <w:u w:color="000000"/>
          <w:lang w:eastAsia="zh-CN"/>
        </w:rPr>
        <w:footnoteReference w:id="14"/>
      </w:r>
      <w:r w:rsidR="00400C1B">
        <w:rPr>
          <w:rFonts w:eastAsiaTheme="minorEastAsia"/>
          <w:b/>
          <w:bCs/>
          <w:color w:val="000000"/>
          <w:szCs w:val="24"/>
          <w:u w:color="000000"/>
          <w:lang w:eastAsia="zh-CN"/>
        </w:rPr>
        <w:t>,</w:t>
      </w:r>
      <w:r>
        <w:rPr>
          <w:rFonts w:eastAsiaTheme="minorEastAsia"/>
          <w:b/>
          <w:bCs/>
          <w:color w:val="000000"/>
          <w:szCs w:val="24"/>
          <w:u w:color="000000"/>
          <w:lang w:eastAsia="zh-CN"/>
        </w:rPr>
        <w:t xml:space="preserve"> </w:t>
      </w:r>
      <w:r>
        <w:rPr>
          <w:rFonts w:eastAsiaTheme="minorEastAsia"/>
          <w:color w:val="000000"/>
          <w:szCs w:val="24"/>
          <w:u w:color="000000"/>
          <w:lang w:eastAsia="zh-CN"/>
        </w:rPr>
        <w:t>where unsubstantiated advice cannot provide a defence.</w:t>
      </w:r>
    </w:p>
    <w:p w14:paraId="69CBBAE4" w14:textId="2DFF273C"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 xml:space="preserve">As a </w:t>
      </w:r>
      <w:r>
        <w:rPr>
          <w:rFonts w:eastAsiaTheme="minorEastAsia"/>
          <w:color w:val="000000"/>
          <w:szCs w:val="24"/>
          <w:u w:color="000000"/>
          <w:lang w:eastAsia="zh-CN"/>
        </w:rPr>
        <w:t>result,</w:t>
      </w:r>
      <w:r>
        <w:rPr>
          <w:rFonts w:eastAsiaTheme="minorEastAsia"/>
          <w:color w:val="000000"/>
          <w:szCs w:val="24"/>
          <w:u w:color="000000"/>
          <w:lang w:eastAsia="zh-CN"/>
        </w:rPr>
        <w:t xml:space="preserve"> the directors may be personally liable for the debts </w:t>
      </w:r>
      <w:r>
        <w:rPr>
          <w:rFonts w:eastAsiaTheme="minorEastAsia"/>
          <w:color w:val="000000"/>
          <w:szCs w:val="24"/>
          <w:u w:color="000000"/>
          <w:lang w:eastAsia="zh-CN"/>
        </w:rPr>
        <w:t>of BBL</w:t>
      </w:r>
      <w:r>
        <w:rPr>
          <w:rFonts w:eastAsiaTheme="minorEastAsia"/>
          <w:color w:val="000000"/>
          <w:szCs w:val="24"/>
          <w:u w:color="000000"/>
          <w:lang w:eastAsia="zh-CN"/>
        </w:rPr>
        <w:t>.</w:t>
      </w:r>
    </w:p>
    <w:p w14:paraId="47CDB84F"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p>
    <w:p w14:paraId="3A2495BA" w14:textId="77777777" w:rsidR="00A54AE4" w:rsidRDefault="00A54AE4" w:rsidP="00A54AE4">
      <w:pPr>
        <w:autoSpaceDE w:val="0"/>
        <w:autoSpaceDN w:val="0"/>
        <w:adjustRightInd w:val="0"/>
        <w:ind w:right="-720"/>
        <w:rPr>
          <w:rFonts w:eastAsiaTheme="minorEastAsia"/>
          <w:b/>
          <w:bCs/>
          <w:color w:val="000000"/>
          <w:szCs w:val="24"/>
          <w:u w:val="single" w:color="000000"/>
          <w:lang w:eastAsia="zh-CN"/>
        </w:rPr>
      </w:pPr>
      <w:r>
        <w:rPr>
          <w:rFonts w:eastAsiaTheme="minorEastAsia"/>
          <w:b/>
          <w:bCs/>
          <w:color w:val="000000"/>
          <w:szCs w:val="24"/>
          <w:u w:val="single" w:color="000000"/>
          <w:lang w:eastAsia="zh-CN"/>
        </w:rPr>
        <w:t>Conclusion</w:t>
      </w:r>
    </w:p>
    <w:p w14:paraId="5578A95C" w14:textId="04B1DBB4" w:rsidR="00A54AE4" w:rsidRDefault="00A54AE4" w:rsidP="00A54AE4">
      <w:pPr>
        <w:autoSpaceDE w:val="0"/>
        <w:autoSpaceDN w:val="0"/>
        <w:adjustRightInd w:val="0"/>
        <w:ind w:right="-720"/>
        <w:rPr>
          <w:rFonts w:eastAsiaTheme="minorEastAsia"/>
          <w:color w:val="000000"/>
          <w:szCs w:val="24"/>
          <w:u w:color="000000"/>
          <w:lang w:eastAsia="zh-CN"/>
        </w:rPr>
      </w:pPr>
      <w:r>
        <w:rPr>
          <w:rFonts w:eastAsiaTheme="minorEastAsia"/>
          <w:color w:val="000000"/>
          <w:szCs w:val="24"/>
          <w:u w:color="000000"/>
          <w:lang w:eastAsia="zh-CN"/>
        </w:rPr>
        <w:t xml:space="preserve">Under the Companies act 1993 the director duties breached was liquidity under </w:t>
      </w:r>
      <w:r w:rsidR="00400C1B">
        <w:rPr>
          <w:rFonts w:eastAsiaTheme="minorEastAsia"/>
          <w:color w:val="000000"/>
          <w:szCs w:val="24"/>
          <w:u w:color="000000"/>
          <w:lang w:eastAsia="zh-CN"/>
        </w:rPr>
        <w:t>S</w:t>
      </w:r>
      <w:r>
        <w:rPr>
          <w:rFonts w:eastAsiaTheme="minorEastAsia"/>
          <w:color w:val="000000"/>
          <w:szCs w:val="24"/>
          <w:u w:color="000000"/>
          <w:lang w:eastAsia="zh-CN"/>
        </w:rPr>
        <w:t xml:space="preserve">ection 135 and 136 by Charles, Denise, Eric, Frank, Geraldine and Alpha (as a shadow director) and the duty of competence under </w:t>
      </w:r>
      <w:r w:rsidR="00400C1B">
        <w:rPr>
          <w:rFonts w:eastAsiaTheme="minorEastAsia"/>
          <w:color w:val="000000"/>
          <w:szCs w:val="24"/>
          <w:u w:color="000000"/>
          <w:lang w:eastAsia="zh-CN"/>
        </w:rPr>
        <w:t>S</w:t>
      </w:r>
      <w:r>
        <w:rPr>
          <w:rFonts w:eastAsiaTheme="minorEastAsia"/>
          <w:color w:val="000000"/>
          <w:szCs w:val="24"/>
          <w:u w:color="000000"/>
          <w:lang w:eastAsia="zh-CN"/>
        </w:rPr>
        <w:t>ection 137 by Eric, Frank, and Geraldine.</w:t>
      </w:r>
      <w:r w:rsidRPr="00A54AE4">
        <w:rPr>
          <w:rFonts w:eastAsiaTheme="minorEastAsia"/>
          <w:color w:val="000000"/>
          <w:szCs w:val="24"/>
          <w:u w:color="000000"/>
          <w:lang w:eastAsia="zh-CN"/>
        </w:rPr>
        <w:t xml:space="preserve"> </w:t>
      </w:r>
      <w:r>
        <w:rPr>
          <w:rFonts w:eastAsiaTheme="minorEastAsia"/>
          <w:color w:val="000000"/>
          <w:szCs w:val="24"/>
          <w:u w:color="000000"/>
          <w:lang w:eastAsia="zh-CN"/>
        </w:rPr>
        <w:t xml:space="preserve">As a result, the directors may be personally liable for the debts </w:t>
      </w:r>
      <w:r>
        <w:rPr>
          <w:rFonts w:eastAsiaTheme="minorEastAsia"/>
          <w:color w:val="000000"/>
          <w:szCs w:val="24"/>
          <w:u w:color="000000"/>
          <w:lang w:eastAsia="zh-CN"/>
        </w:rPr>
        <w:t>of BBL</w:t>
      </w:r>
      <w:r>
        <w:rPr>
          <w:rFonts w:eastAsiaTheme="minorEastAsia"/>
          <w:color w:val="000000"/>
          <w:szCs w:val="24"/>
          <w:u w:color="000000"/>
          <w:lang w:eastAsia="zh-CN"/>
        </w:rPr>
        <w:t>.</w:t>
      </w:r>
    </w:p>
    <w:p w14:paraId="2890D10C" w14:textId="11061201" w:rsidR="00A54AE4" w:rsidRDefault="00A54AE4" w:rsidP="00A54AE4">
      <w:pPr>
        <w:autoSpaceDE w:val="0"/>
        <w:autoSpaceDN w:val="0"/>
        <w:adjustRightInd w:val="0"/>
        <w:spacing w:after="200" w:line="276" w:lineRule="auto"/>
        <w:ind w:right="-766"/>
        <w:jc w:val="left"/>
        <w:rPr>
          <w:rFonts w:eastAsiaTheme="minorEastAsia"/>
          <w:color w:val="000000"/>
          <w:szCs w:val="24"/>
          <w:u w:color="000000"/>
          <w:lang w:eastAsia="zh-CN"/>
        </w:rPr>
      </w:pPr>
    </w:p>
    <w:p w14:paraId="69F4CE0E" w14:textId="277C64B1" w:rsidR="00AA5FC8" w:rsidRPr="00D81340" w:rsidRDefault="00AA5FC8" w:rsidP="00A54AE4">
      <w:pPr>
        <w:tabs>
          <w:tab w:val="left" w:pos="3686"/>
        </w:tabs>
        <w:spacing w:line="360" w:lineRule="auto"/>
        <w:ind w:left="3686" w:right="-25" w:hanging="3686"/>
        <w:jc w:val="left"/>
        <w:rPr>
          <w:szCs w:val="24"/>
        </w:rPr>
      </w:pPr>
    </w:p>
    <w:sectPr w:rsidR="00AA5FC8" w:rsidRPr="00D813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DF9DE" w14:textId="77777777" w:rsidR="00A42E7A" w:rsidRDefault="00A42E7A" w:rsidP="00303A87">
      <w:r>
        <w:separator/>
      </w:r>
    </w:p>
  </w:endnote>
  <w:endnote w:type="continuationSeparator" w:id="0">
    <w:p w14:paraId="70029191" w14:textId="77777777" w:rsidR="00A42E7A" w:rsidRDefault="00A42E7A" w:rsidP="0030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EF45E" w14:textId="77777777" w:rsidR="00A42E7A" w:rsidRDefault="00A42E7A" w:rsidP="00303A87">
      <w:r>
        <w:separator/>
      </w:r>
    </w:p>
  </w:footnote>
  <w:footnote w:type="continuationSeparator" w:id="0">
    <w:p w14:paraId="7AE9D6F0" w14:textId="77777777" w:rsidR="00A42E7A" w:rsidRDefault="00A42E7A" w:rsidP="00303A87">
      <w:r>
        <w:continuationSeparator/>
      </w:r>
    </w:p>
  </w:footnote>
  <w:footnote w:id="1">
    <w:p w14:paraId="65889041" w14:textId="77777777" w:rsidR="00303A87" w:rsidRPr="00A54AE4" w:rsidRDefault="00303A87" w:rsidP="00303A87">
      <w:pPr>
        <w:pStyle w:val="FootnoteText"/>
      </w:pPr>
      <w:r>
        <w:rPr>
          <w:rStyle w:val="FootnoteReference"/>
        </w:rPr>
        <w:footnoteRef/>
      </w:r>
      <w:r w:rsidRPr="00A54AE4">
        <w:t xml:space="preserve"> [2001] 3 NZLR 47.</w:t>
      </w:r>
    </w:p>
  </w:footnote>
  <w:footnote w:id="2">
    <w:p w14:paraId="431304D3" w14:textId="77777777" w:rsidR="00303A87" w:rsidRPr="00A54AE4" w:rsidRDefault="00303A87" w:rsidP="00303A87">
      <w:pPr>
        <w:pStyle w:val="FootnoteText"/>
      </w:pPr>
      <w:r w:rsidRPr="00A54AE4">
        <w:rPr>
          <w:rStyle w:val="FootnoteReference"/>
        </w:rPr>
        <w:footnoteRef/>
      </w:r>
      <w:r w:rsidRPr="00A54AE4">
        <w:t xml:space="preserve"> (2006) 1 All ER 34 (HL).</w:t>
      </w:r>
    </w:p>
  </w:footnote>
  <w:footnote w:id="3">
    <w:p w14:paraId="4BACEC1E" w14:textId="77777777" w:rsidR="00303A87" w:rsidRPr="00A54AE4" w:rsidRDefault="00303A87" w:rsidP="00303A87">
      <w:pPr>
        <w:pStyle w:val="FootnoteText"/>
      </w:pPr>
      <w:r w:rsidRPr="00A54AE4">
        <w:rPr>
          <w:rStyle w:val="FootnoteReference"/>
        </w:rPr>
        <w:footnoteRef/>
      </w:r>
      <w:r w:rsidRPr="00A54AE4">
        <w:t xml:space="preserve"> J Key, Key on Contracts, (2006, LexisNexis) at 45.</w:t>
      </w:r>
    </w:p>
  </w:footnote>
  <w:footnote w:id="4">
    <w:p w14:paraId="43EB1018" w14:textId="77777777" w:rsidR="00303A87" w:rsidRPr="00A54AE4" w:rsidRDefault="00303A87" w:rsidP="00303A87">
      <w:pPr>
        <w:pStyle w:val="FootnoteText"/>
        <w:rPr>
          <w:lang w:val="en-NZ"/>
        </w:rPr>
      </w:pPr>
      <w:r w:rsidRPr="00A54AE4">
        <w:rPr>
          <w:rStyle w:val="FootnoteReference"/>
        </w:rPr>
        <w:footnoteRef/>
      </w:r>
      <w:r w:rsidRPr="00A54AE4">
        <w:t xml:space="preserve"> </w:t>
      </w:r>
      <w:r w:rsidRPr="00A54AE4">
        <w:rPr>
          <w:lang w:val="en-NZ"/>
        </w:rPr>
        <w:t>Animal Control Act 1945, s21(a)(</w:t>
      </w:r>
      <w:proofErr w:type="spellStart"/>
      <w:r w:rsidRPr="00A54AE4">
        <w:rPr>
          <w:lang w:val="en-NZ"/>
        </w:rPr>
        <w:t>i</w:t>
      </w:r>
      <w:proofErr w:type="spellEnd"/>
      <w:r w:rsidRPr="00A54AE4">
        <w:rPr>
          <w:lang w:val="en-NZ"/>
        </w:rPr>
        <w:t>).</w:t>
      </w:r>
    </w:p>
  </w:footnote>
  <w:footnote w:id="5">
    <w:p w14:paraId="0835DBE4" w14:textId="77777777" w:rsidR="00400C1B" w:rsidRPr="00A54AE4" w:rsidRDefault="00400C1B" w:rsidP="00400C1B">
      <w:pPr>
        <w:pStyle w:val="FootnoteText"/>
        <w:rPr>
          <w:rFonts w:ascii="Times" w:eastAsiaTheme="minorEastAsia" w:hAnsi="Times" w:cs="Times"/>
          <w:color w:val="000000"/>
          <w:szCs w:val="24"/>
          <w:lang w:eastAsia="zh-CN"/>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[2001[ 1 All ER 20 (HL)</w:t>
      </w:r>
    </w:p>
  </w:footnote>
  <w:footnote w:id="6">
    <w:p w14:paraId="5DCB1797" w14:textId="305E0CF2" w:rsidR="00A54AE4" w:rsidRPr="00A54AE4" w:rsidRDefault="00A54AE4">
      <w:pPr>
        <w:pStyle w:val="FootnoteText"/>
        <w:rPr>
          <w:lang w:val="en-US"/>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[1916] 2 KB 177</w:t>
      </w:r>
    </w:p>
  </w:footnote>
  <w:footnote w:id="7">
    <w:p w14:paraId="0DE09D8C" w14:textId="13CD3AB0" w:rsidR="00A54AE4" w:rsidRPr="00A54AE4" w:rsidRDefault="00A54AE4">
      <w:pPr>
        <w:pStyle w:val="FootnoteText"/>
        <w:rPr>
          <w:rFonts w:ascii="Times" w:eastAsiaTheme="minorEastAsia" w:hAnsi="Times" w:cs="Times"/>
          <w:color w:val="000000"/>
          <w:szCs w:val="24"/>
          <w:lang w:eastAsia="zh-CN"/>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[1997] 1 QD R 225 (QD CA)</w:t>
      </w:r>
    </w:p>
  </w:footnote>
  <w:footnote w:id="8">
    <w:p w14:paraId="03304AC5" w14:textId="419BB516" w:rsidR="00A54AE4" w:rsidRPr="00A54AE4" w:rsidRDefault="00A54AE4">
      <w:pPr>
        <w:pStyle w:val="FootnoteText"/>
        <w:rPr>
          <w:lang w:val="en-US"/>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[1997] 1 QD R 225 (QD CA)</w:t>
      </w:r>
    </w:p>
  </w:footnote>
  <w:footnote w:id="9">
    <w:p w14:paraId="220BB10B" w14:textId="72738B5D" w:rsidR="00A54AE4" w:rsidRPr="00A54AE4" w:rsidRDefault="00A54AE4" w:rsidP="00A54AE4">
      <w:pPr>
        <w:jc w:val="left"/>
        <w:rPr>
          <w:rFonts w:ascii="Times" w:eastAsia="Times New Roman" w:hAnsi="Times"/>
          <w:sz w:val="20"/>
          <w:lang w:val="en-NZ" w:eastAsia="en-GB"/>
        </w:rPr>
      </w:pPr>
      <w:r w:rsidRPr="00A54AE4">
        <w:rPr>
          <w:rStyle w:val="FootnoteReference"/>
          <w:rFonts w:ascii="Times" w:hAnsi="Times"/>
          <w:sz w:val="20"/>
        </w:rPr>
        <w:footnoteRef/>
      </w:r>
      <w:r w:rsidRPr="00A54AE4">
        <w:rPr>
          <w:rFonts w:ascii="Times" w:hAnsi="Times"/>
          <w:sz w:val="20"/>
        </w:rPr>
        <w:t xml:space="preserve"> </w:t>
      </w:r>
      <w:r w:rsidRPr="00A54AE4">
        <w:rPr>
          <w:rFonts w:ascii="Times" w:eastAsia="Times New Roman" w:hAnsi="Times"/>
          <w:sz w:val="20"/>
          <w:lang w:val="en-NZ" w:eastAsia="en-GB"/>
        </w:rPr>
        <w:t>[2000] 3 NZLR 220</w:t>
      </w:r>
    </w:p>
  </w:footnote>
  <w:footnote w:id="10">
    <w:p w14:paraId="330606F8" w14:textId="6B8876EF" w:rsidR="00A54AE4" w:rsidRPr="00A54AE4" w:rsidRDefault="00A54AE4">
      <w:pPr>
        <w:pStyle w:val="FootnoteText"/>
        <w:rPr>
          <w:lang w:val="en-US"/>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[1988] 2 NZLR 1</w:t>
      </w:r>
    </w:p>
  </w:footnote>
  <w:footnote w:id="11">
    <w:p w14:paraId="4A14A402" w14:textId="10CD71F1" w:rsidR="00A54AE4" w:rsidRPr="00A54AE4" w:rsidRDefault="00A54AE4">
      <w:pPr>
        <w:pStyle w:val="FootnoteText"/>
        <w:rPr>
          <w:rFonts w:ascii="Times" w:eastAsiaTheme="minorEastAsia" w:hAnsi="Times" w:cs="Times"/>
          <w:color w:val="000000"/>
          <w:szCs w:val="24"/>
          <w:lang w:eastAsia="zh-CN"/>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[2013] NZHC 2171</w:t>
      </w:r>
    </w:p>
  </w:footnote>
  <w:footnote w:id="12">
    <w:p w14:paraId="6B1C9B16" w14:textId="30676716" w:rsidR="00A54AE4" w:rsidRPr="00A54AE4" w:rsidRDefault="00A54AE4">
      <w:pPr>
        <w:pStyle w:val="FootnoteText"/>
        <w:rPr>
          <w:rFonts w:ascii="Times" w:eastAsiaTheme="minorEastAsia" w:hAnsi="Times" w:cs="Times"/>
          <w:color w:val="000000"/>
          <w:szCs w:val="24"/>
          <w:lang w:eastAsia="zh-CN"/>
        </w:rPr>
      </w:pPr>
      <w:r w:rsidRPr="00A54AE4">
        <w:rPr>
          <w:rStyle w:val="FootnoteReference"/>
        </w:rPr>
        <w:footnoteRef/>
      </w:r>
      <w:r w:rsidRPr="00A54AE4">
        <w:t xml:space="preserve"> </w:t>
      </w:r>
      <w:r w:rsidRPr="00A54AE4">
        <w:rPr>
          <w:rFonts w:ascii="Times" w:eastAsiaTheme="minorEastAsia" w:hAnsi="Times" w:cs="Times"/>
          <w:color w:val="000000"/>
          <w:szCs w:val="24"/>
          <w:lang w:eastAsia="zh-CN"/>
        </w:rPr>
        <w:t>[1997] 3 NZLR 96</w:t>
      </w:r>
    </w:p>
  </w:footnote>
  <w:footnote w:id="13">
    <w:p w14:paraId="372FAA4B" w14:textId="040434BA" w:rsidR="00A54AE4" w:rsidRPr="00A54AE4" w:rsidRDefault="00A54AE4">
      <w:pPr>
        <w:pStyle w:val="FootnoteText"/>
        <w:rPr>
          <w:lang w:val="en-US"/>
        </w:rPr>
      </w:pPr>
      <w:r>
        <w:rPr>
          <w:rStyle w:val="FootnoteReference"/>
        </w:rPr>
        <w:footnoteRef/>
      </w:r>
      <w:r>
        <w:t xml:space="preserve"> </w:t>
      </w:r>
      <w:r>
        <w:rPr>
          <w:lang w:val="en-US"/>
        </w:rPr>
        <w:t>[2011] 1 NZLR 542</w:t>
      </w:r>
    </w:p>
  </w:footnote>
  <w:footnote w:id="14">
    <w:p w14:paraId="021E93CA" w14:textId="5E0E1CB0" w:rsidR="00A54AE4" w:rsidRPr="00A54AE4" w:rsidRDefault="00A54AE4" w:rsidP="00A54AE4">
      <w:pPr>
        <w:jc w:val="left"/>
        <w:rPr>
          <w:rFonts w:ascii="Times" w:eastAsia="Times New Roman" w:hAnsi="Times"/>
          <w:color w:val="000000" w:themeColor="text1"/>
          <w:sz w:val="20"/>
          <w:lang w:val="en-NZ" w:eastAsia="en-GB"/>
        </w:rPr>
      </w:pPr>
      <w:r>
        <w:rPr>
          <w:rStyle w:val="FootnoteReference"/>
        </w:rPr>
        <w:footnoteRef/>
      </w:r>
      <w:r>
        <w:t xml:space="preserve"> </w:t>
      </w:r>
      <w:r w:rsidRPr="00A54AE4">
        <w:rPr>
          <w:rFonts w:ascii="Times" w:eastAsia="Times New Roman" w:hAnsi="Times" w:cs="Arial"/>
          <w:color w:val="000000" w:themeColor="text1"/>
          <w:sz w:val="20"/>
          <w:shd w:val="clear" w:color="auto" w:fill="FFFFFF"/>
          <w:lang w:val="en-NZ" w:eastAsia="en-GB"/>
        </w:rPr>
        <w:t>[</w:t>
      </w:r>
      <w:r w:rsidRPr="00A54AE4">
        <w:rPr>
          <w:rFonts w:ascii="Times" w:eastAsia="Times New Roman" w:hAnsi="Times" w:cs="Arial"/>
          <w:color w:val="000000" w:themeColor="text1"/>
          <w:sz w:val="20"/>
          <w:shd w:val="clear" w:color="auto" w:fill="FFFFFF"/>
          <w:lang w:val="en-NZ" w:eastAsia="en-GB"/>
        </w:rPr>
        <w:t>2007</w:t>
      </w:r>
      <w:r w:rsidRPr="00A54AE4">
        <w:rPr>
          <w:rFonts w:ascii="Times" w:eastAsia="Times New Roman" w:hAnsi="Times" w:cs="Arial"/>
          <w:color w:val="000000" w:themeColor="text1"/>
          <w:sz w:val="20"/>
          <w:shd w:val="clear" w:color="auto" w:fill="FFFFFF"/>
          <w:lang w:val="en-NZ" w:eastAsia="en-GB"/>
        </w:rPr>
        <w:t>]</w:t>
      </w:r>
      <w:r w:rsidRPr="00A54AE4">
        <w:rPr>
          <w:rFonts w:ascii="Times" w:eastAsia="Times New Roman" w:hAnsi="Times" w:cs="Arial"/>
          <w:color w:val="000000" w:themeColor="text1"/>
          <w:sz w:val="20"/>
          <w:shd w:val="clear" w:color="auto" w:fill="FFFFFF"/>
          <w:lang w:val="en-NZ" w:eastAsia="en-GB"/>
        </w:rPr>
        <w:t xml:space="preserve"> 23 NZTC 21,107 (HC)</w:t>
      </w:r>
    </w:p>
    <w:p w14:paraId="0752C697" w14:textId="6A185A3D" w:rsidR="00A54AE4" w:rsidRPr="00A54AE4" w:rsidRDefault="00A54AE4">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925EF"/>
    <w:multiLevelType w:val="hybridMultilevel"/>
    <w:tmpl w:val="C1B48826"/>
    <w:lvl w:ilvl="0" w:tplc="44A265A4">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945027C"/>
    <w:multiLevelType w:val="hybridMultilevel"/>
    <w:tmpl w:val="AE7C49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7AA3216"/>
    <w:multiLevelType w:val="hybridMultilevel"/>
    <w:tmpl w:val="22F21490"/>
    <w:lvl w:ilvl="0" w:tplc="21AE7F7C">
      <w:start w:val="1"/>
      <w:numFmt w:val="lowerLetter"/>
      <w:lvlText w:val="(%1)"/>
      <w:lvlJc w:val="left"/>
      <w:pPr>
        <w:ind w:left="1080" w:hanging="720"/>
      </w:pPr>
      <w:rPr>
        <w:rFonts w:hint="default"/>
        <w:b/>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894038"/>
    <w:multiLevelType w:val="hybridMultilevel"/>
    <w:tmpl w:val="F8465E4C"/>
    <w:lvl w:ilvl="0" w:tplc="C7F0C28C">
      <w:start w:val="1"/>
      <w:numFmt w:val="lowerRoman"/>
      <w:lvlText w:val="(%1)"/>
      <w:lvlJc w:val="left"/>
      <w:pPr>
        <w:ind w:left="2934" w:hanging="720"/>
      </w:pPr>
      <w:rPr>
        <w:rFonts w:hint="default"/>
      </w:rPr>
    </w:lvl>
    <w:lvl w:ilvl="1" w:tplc="14090019" w:tentative="1">
      <w:start w:val="1"/>
      <w:numFmt w:val="lowerLetter"/>
      <w:lvlText w:val="%2."/>
      <w:lvlJc w:val="left"/>
      <w:pPr>
        <w:ind w:left="3294" w:hanging="360"/>
      </w:pPr>
    </w:lvl>
    <w:lvl w:ilvl="2" w:tplc="1409001B" w:tentative="1">
      <w:start w:val="1"/>
      <w:numFmt w:val="lowerRoman"/>
      <w:lvlText w:val="%3."/>
      <w:lvlJc w:val="right"/>
      <w:pPr>
        <w:ind w:left="4014" w:hanging="180"/>
      </w:pPr>
    </w:lvl>
    <w:lvl w:ilvl="3" w:tplc="1409000F" w:tentative="1">
      <w:start w:val="1"/>
      <w:numFmt w:val="decimal"/>
      <w:lvlText w:val="%4."/>
      <w:lvlJc w:val="left"/>
      <w:pPr>
        <w:ind w:left="4734" w:hanging="360"/>
      </w:pPr>
    </w:lvl>
    <w:lvl w:ilvl="4" w:tplc="14090019" w:tentative="1">
      <w:start w:val="1"/>
      <w:numFmt w:val="lowerLetter"/>
      <w:lvlText w:val="%5."/>
      <w:lvlJc w:val="left"/>
      <w:pPr>
        <w:ind w:left="5454" w:hanging="360"/>
      </w:pPr>
    </w:lvl>
    <w:lvl w:ilvl="5" w:tplc="1409001B" w:tentative="1">
      <w:start w:val="1"/>
      <w:numFmt w:val="lowerRoman"/>
      <w:lvlText w:val="%6."/>
      <w:lvlJc w:val="right"/>
      <w:pPr>
        <w:ind w:left="6174" w:hanging="180"/>
      </w:pPr>
    </w:lvl>
    <w:lvl w:ilvl="6" w:tplc="1409000F" w:tentative="1">
      <w:start w:val="1"/>
      <w:numFmt w:val="decimal"/>
      <w:lvlText w:val="%7."/>
      <w:lvlJc w:val="left"/>
      <w:pPr>
        <w:ind w:left="6894" w:hanging="360"/>
      </w:pPr>
    </w:lvl>
    <w:lvl w:ilvl="7" w:tplc="14090019" w:tentative="1">
      <w:start w:val="1"/>
      <w:numFmt w:val="lowerLetter"/>
      <w:lvlText w:val="%8."/>
      <w:lvlJc w:val="left"/>
      <w:pPr>
        <w:ind w:left="7614" w:hanging="360"/>
      </w:pPr>
    </w:lvl>
    <w:lvl w:ilvl="8" w:tplc="1409001B" w:tentative="1">
      <w:start w:val="1"/>
      <w:numFmt w:val="lowerRoman"/>
      <w:lvlText w:val="%9."/>
      <w:lvlJc w:val="right"/>
      <w:pPr>
        <w:ind w:left="833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B6"/>
    <w:rsid w:val="000A5D60"/>
    <w:rsid w:val="000B57E4"/>
    <w:rsid w:val="00132C28"/>
    <w:rsid w:val="001F424A"/>
    <w:rsid w:val="0022139F"/>
    <w:rsid w:val="00234E6F"/>
    <w:rsid w:val="002471D0"/>
    <w:rsid w:val="00247A15"/>
    <w:rsid w:val="002534AD"/>
    <w:rsid w:val="00303A87"/>
    <w:rsid w:val="003241C6"/>
    <w:rsid w:val="00340A07"/>
    <w:rsid w:val="00361EA2"/>
    <w:rsid w:val="0036362D"/>
    <w:rsid w:val="00371C57"/>
    <w:rsid w:val="003B5102"/>
    <w:rsid w:val="00400C1B"/>
    <w:rsid w:val="004A7056"/>
    <w:rsid w:val="004E650A"/>
    <w:rsid w:val="004E7B3F"/>
    <w:rsid w:val="00665F13"/>
    <w:rsid w:val="006B3345"/>
    <w:rsid w:val="00701A56"/>
    <w:rsid w:val="00766AE2"/>
    <w:rsid w:val="007A1BB9"/>
    <w:rsid w:val="007E3A5D"/>
    <w:rsid w:val="00805E6D"/>
    <w:rsid w:val="0083520B"/>
    <w:rsid w:val="00903B29"/>
    <w:rsid w:val="0091672F"/>
    <w:rsid w:val="00987119"/>
    <w:rsid w:val="00A34AA5"/>
    <w:rsid w:val="00A42E7A"/>
    <w:rsid w:val="00A5462E"/>
    <w:rsid w:val="00A54AE4"/>
    <w:rsid w:val="00AA5FC8"/>
    <w:rsid w:val="00B348D4"/>
    <w:rsid w:val="00B522AC"/>
    <w:rsid w:val="00BE459D"/>
    <w:rsid w:val="00C31A98"/>
    <w:rsid w:val="00C47ED8"/>
    <w:rsid w:val="00CE5D34"/>
    <w:rsid w:val="00D5528C"/>
    <w:rsid w:val="00D81340"/>
    <w:rsid w:val="00D82800"/>
    <w:rsid w:val="00D92B98"/>
    <w:rsid w:val="00DA45B6"/>
    <w:rsid w:val="00DC30A3"/>
    <w:rsid w:val="00DF3F7C"/>
    <w:rsid w:val="00E26812"/>
    <w:rsid w:val="00E3070E"/>
    <w:rsid w:val="00E30CD5"/>
    <w:rsid w:val="00E46686"/>
    <w:rsid w:val="00E519FF"/>
    <w:rsid w:val="00E65AAB"/>
    <w:rsid w:val="00ED324D"/>
    <w:rsid w:val="00F627B4"/>
    <w:rsid w:val="00FC22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2E879"/>
  <w15:chartTrackingRefBased/>
  <w15:docId w15:val="{60920064-D935-401D-B329-B8591581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1B"/>
    <w:pPr>
      <w:spacing w:after="0" w:line="240" w:lineRule="auto"/>
      <w:jc w:val="both"/>
    </w:pPr>
    <w:rPr>
      <w:rFonts w:ascii="Times New Roman" w:eastAsia="Batang" w:hAnsi="Times New Roman" w:cs="Times New Roman"/>
      <w:sz w:val="24"/>
      <w:szCs w:val="20"/>
      <w:lang w:val="en-GB" w:eastAsia="en-US"/>
    </w:rPr>
  </w:style>
  <w:style w:type="paragraph" w:styleId="Heading4">
    <w:name w:val="heading 4"/>
    <w:basedOn w:val="Normal"/>
    <w:next w:val="Normal"/>
    <w:link w:val="Heading4Char"/>
    <w:qFormat/>
    <w:rsid w:val="00303A87"/>
    <w:pPr>
      <w:keepNext/>
      <w:tabs>
        <w:tab w:val="left" w:pos="709"/>
      </w:tabs>
      <w:ind w:left="709" w:hanging="709"/>
      <w:jc w:val="center"/>
      <w:outlineLvl w:val="3"/>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12"/>
    <w:pPr>
      <w:ind w:left="720"/>
      <w:contextualSpacing/>
      <w:jc w:val="left"/>
    </w:pPr>
    <w:rPr>
      <w:rFonts w:eastAsia="Times New Roman"/>
      <w:szCs w:val="24"/>
      <w:lang w:val="en-AU"/>
    </w:rPr>
  </w:style>
  <w:style w:type="paragraph" w:styleId="BalloonText">
    <w:name w:val="Balloon Text"/>
    <w:basedOn w:val="Normal"/>
    <w:link w:val="BalloonTextChar"/>
    <w:uiPriority w:val="99"/>
    <w:semiHidden/>
    <w:unhideWhenUsed/>
    <w:rsid w:val="00FC22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9E"/>
    <w:rPr>
      <w:rFonts w:ascii="Segoe UI" w:eastAsia="Batang" w:hAnsi="Segoe UI" w:cs="Segoe UI"/>
      <w:sz w:val="18"/>
      <w:szCs w:val="18"/>
      <w:lang w:val="en-GB" w:eastAsia="en-US"/>
    </w:rPr>
  </w:style>
  <w:style w:type="paragraph" w:styleId="Header">
    <w:name w:val="header"/>
    <w:basedOn w:val="Normal"/>
    <w:link w:val="HeaderChar"/>
    <w:unhideWhenUsed/>
    <w:rsid w:val="00303A87"/>
    <w:pPr>
      <w:tabs>
        <w:tab w:val="center" w:pos="4513"/>
        <w:tab w:val="right" w:pos="9026"/>
      </w:tabs>
    </w:pPr>
  </w:style>
  <w:style w:type="character" w:customStyle="1" w:styleId="HeaderChar">
    <w:name w:val="Header Char"/>
    <w:basedOn w:val="DefaultParagraphFont"/>
    <w:link w:val="Header"/>
    <w:uiPriority w:val="99"/>
    <w:rsid w:val="00303A87"/>
    <w:rPr>
      <w:rFonts w:ascii="Times New Roman" w:eastAsia="Batang" w:hAnsi="Times New Roman" w:cs="Times New Roman"/>
      <w:sz w:val="24"/>
      <w:szCs w:val="20"/>
      <w:lang w:val="en-GB" w:eastAsia="en-US"/>
    </w:rPr>
  </w:style>
  <w:style w:type="paragraph" w:styleId="Footer">
    <w:name w:val="footer"/>
    <w:basedOn w:val="Normal"/>
    <w:link w:val="FooterChar"/>
    <w:unhideWhenUsed/>
    <w:rsid w:val="00303A87"/>
    <w:pPr>
      <w:tabs>
        <w:tab w:val="center" w:pos="4513"/>
        <w:tab w:val="right" w:pos="9026"/>
      </w:tabs>
    </w:pPr>
  </w:style>
  <w:style w:type="character" w:customStyle="1" w:styleId="FooterChar">
    <w:name w:val="Footer Char"/>
    <w:basedOn w:val="DefaultParagraphFont"/>
    <w:link w:val="Footer"/>
    <w:uiPriority w:val="99"/>
    <w:rsid w:val="00303A87"/>
    <w:rPr>
      <w:rFonts w:ascii="Times New Roman" w:eastAsia="Batang" w:hAnsi="Times New Roman" w:cs="Times New Roman"/>
      <w:sz w:val="24"/>
      <w:szCs w:val="20"/>
      <w:lang w:val="en-GB" w:eastAsia="en-US"/>
    </w:rPr>
  </w:style>
  <w:style w:type="character" w:customStyle="1" w:styleId="Heading4Char">
    <w:name w:val="Heading 4 Char"/>
    <w:basedOn w:val="DefaultParagraphFont"/>
    <w:link w:val="Heading4"/>
    <w:rsid w:val="00303A87"/>
    <w:rPr>
      <w:rFonts w:ascii="Times New Roman" w:eastAsia="Times New Roman" w:hAnsi="Times New Roman" w:cs="Times New Roman"/>
      <w:b/>
      <w:sz w:val="24"/>
      <w:szCs w:val="20"/>
      <w:lang w:val="en-GB" w:eastAsia="en-US"/>
    </w:rPr>
  </w:style>
  <w:style w:type="character" w:styleId="Hyperlink">
    <w:name w:val="Hyperlink"/>
    <w:basedOn w:val="DefaultParagraphFont"/>
    <w:uiPriority w:val="99"/>
    <w:unhideWhenUsed/>
    <w:rsid w:val="00303A87"/>
    <w:rPr>
      <w:color w:val="0000FF"/>
      <w:u w:val="single"/>
    </w:rPr>
  </w:style>
  <w:style w:type="paragraph" w:styleId="FootnoteText">
    <w:name w:val="footnote text"/>
    <w:basedOn w:val="Normal"/>
    <w:link w:val="FootnoteTextChar"/>
    <w:uiPriority w:val="99"/>
    <w:rsid w:val="00303A87"/>
    <w:pPr>
      <w:jc w:val="left"/>
    </w:pPr>
    <w:rPr>
      <w:rFonts w:eastAsia="Times New Roman"/>
      <w:sz w:val="20"/>
      <w:lang w:val="en-AU"/>
    </w:rPr>
  </w:style>
  <w:style w:type="character" w:customStyle="1" w:styleId="FootnoteTextChar">
    <w:name w:val="Footnote Text Char"/>
    <w:basedOn w:val="DefaultParagraphFont"/>
    <w:link w:val="FootnoteText"/>
    <w:uiPriority w:val="99"/>
    <w:rsid w:val="00303A87"/>
    <w:rPr>
      <w:rFonts w:ascii="Times New Roman" w:eastAsia="Times New Roman" w:hAnsi="Times New Roman" w:cs="Times New Roman"/>
      <w:sz w:val="20"/>
      <w:szCs w:val="20"/>
      <w:lang w:val="en-AU" w:eastAsia="en-US"/>
    </w:rPr>
  </w:style>
  <w:style w:type="character" w:styleId="FootnoteReference">
    <w:name w:val="footnote reference"/>
    <w:uiPriority w:val="99"/>
    <w:rsid w:val="00303A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69200">
      <w:bodyDiv w:val="1"/>
      <w:marLeft w:val="0"/>
      <w:marRight w:val="0"/>
      <w:marTop w:val="0"/>
      <w:marBottom w:val="0"/>
      <w:divBdr>
        <w:top w:val="none" w:sz="0" w:space="0" w:color="auto"/>
        <w:left w:val="none" w:sz="0" w:space="0" w:color="auto"/>
        <w:bottom w:val="none" w:sz="0" w:space="0" w:color="auto"/>
        <w:right w:val="none" w:sz="0" w:space="0" w:color="auto"/>
      </w:divBdr>
    </w:div>
    <w:div w:id="12991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awfoundation.org.nz/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2528-6DE6-C840-8921-1D86553D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keeper</dc:creator>
  <cp:keywords/>
  <dc:description/>
  <cp:lastModifiedBy>Kamonchanok Suban Na Ayudtaya</cp:lastModifiedBy>
  <cp:revision>2</cp:revision>
  <dcterms:created xsi:type="dcterms:W3CDTF">2020-09-22T00:35:00Z</dcterms:created>
  <dcterms:modified xsi:type="dcterms:W3CDTF">2020-09-22T00:35:00Z</dcterms:modified>
</cp:coreProperties>
</file>