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735"/>
          <w:sz w:val="52"/>
        </w:rPr>
        <w:t>Metro Public Health Authority</w:t>
        <w:br/>
        <w:t>Winter Respiratory Response Playbook</w:t>
      </w:r>
    </w:p>
    <w:p>
      <w:pPr>
        <w:jc w:val="center"/>
      </w:pPr>
      <w:r>
        <w:rPr>
          <w:i/>
        </w:rPr>
        <w:t>Synthetic reference document for lakehouse analytics, vector search, and grounded assistant demos</w:t>
      </w:r>
    </w:p>
    <w:p>
      <w:r>
        <w:t>Purpose: provide a realistic operating document that can be loaded into the workshop lakehouse, split into chunks, vectorized, and used with Gold analytics data for grounded chat with data and documents.</w:t>
      </w:r>
    </w:p>
    <w:p>
      <w:r>
        <w:t>Audience: public-health operations leaders, data stewards, OAC dashboard authors, and workshop facilitators.</w:t>
      </w:r>
    </w:p>
    <w:p>
      <w:r>
        <w:t>Document date: June 2025</w:t>
      </w:r>
    </w:p>
    <w:p>
      <w:r>
        <w:br w:type="page"/>
      </w:r>
    </w:p>
    <w:p>
      <w:pPr>
        <w:pStyle w:val="Heading1"/>
      </w:pPr>
      <w:r>
        <w:t>1. Operating Context and Goals</w:t>
      </w:r>
    </w:p>
    <w:p>
      <w:pPr>
        <w:spacing w:after="160"/>
      </w:pPr>
      <w:r>
        <w:t>Metro Public Health Authority is preparing for a winter respiratory season with uneven facility demand, shifting immunization uptake, and limited surge staffing.</w:t>
      </w:r>
    </w:p>
    <w:p>
      <w:pPr>
        <w:spacing w:after="160"/>
      </w:pPr>
      <w:r>
        <w:t>The playbook gives leaders a common operating model for reading lakehouse metrics and converting them into staffing, outreach, and quality actions.</w:t>
      </w:r>
    </w:p>
    <w:p>
      <w:pPr>
        <w:spacing w:after="160"/>
      </w:pPr>
      <w:r>
        <w:t>The analytics workflow uses raw operations files, JSON capacity events, spatial catchments, and this document as governed knowledge sources.</w:t>
      </w:r>
    </w:p>
    <w:p>
      <w:pPr>
        <w:pStyle w:val="ListBullet"/>
      </w:pPr>
      <w:r>
        <w:t>Primary goal: protect equitable access to urgent, emergency, and preventive care.</w:t>
      </w:r>
    </w:p>
    <w:p>
      <w:pPr>
        <w:pStyle w:val="ListBullet"/>
      </w:pPr>
      <w:r>
        <w:t>Secondary goal: reduce avoidable delays by aligning staffing, clinic sessions, and outreach with district risk.</w:t>
      </w:r>
    </w:p>
    <w:p>
      <w:pPr>
        <w:pStyle w:val="ListBullet"/>
      </w:pPr>
      <w:r>
        <w:t>Decision cadence: daily operations review and weekly executive public-health review.</w:t>
      </w:r>
    </w:p>
    <w:p>
      <w:r>
        <w:t>Workshop note: this page is synthetic and contains no patient identifiers, exact addresses, or protected health information.</w:t>
      </w:r>
    </w:p>
    <w:p>
      <w:r>
        <w:br w:type="page"/>
      </w:r>
    </w:p>
    <w:p>
      <w:pPr>
        <w:pStyle w:val="Heading1"/>
      </w:pPr>
      <w:r>
        <w:t>2. Source Data and Governance</w:t>
      </w:r>
    </w:p>
    <w:p>
      <w:pPr>
        <w:spacing w:after="160"/>
      </w:pPr>
      <w:r>
        <w:t>Raw data arrives from facility operations, immunization scheduling, respiratory surveillance, quality management, outreach registries, and facility capacity command-center events.</w:t>
      </w:r>
    </w:p>
    <w:p>
      <w:pPr>
        <w:spacing w:after="160"/>
      </w:pPr>
      <w:r>
        <w:t>The landing zone includes CSV, JSON, GeoJSON, and document files so the workshop reflects realistic public-sector data estates.</w:t>
      </w:r>
    </w:p>
    <w:p>
      <w:pPr>
        <w:spacing w:after="160"/>
      </w:pPr>
      <w:r>
        <w:t>Data stewards validate source freshness, row counts, required fields, and synthetic privacy boundaries before promoting data into curated layers.</w:t>
      </w:r>
    </w:p>
    <w:p>
      <w:pPr>
        <w:pStyle w:val="ListBullet"/>
      </w:pPr>
      <w:r>
        <w:t>CSV sources describe daily operations, immunization activity, respiratory surveillance, and quality events.</w:t>
      </w:r>
    </w:p>
    <w:p>
      <w:pPr>
        <w:pStyle w:val="ListBullet"/>
      </w:pPr>
      <w:r>
        <w:t>JSON events describe near-real-time occupancy, waiting room, triage, and supply signals.</w:t>
      </w:r>
    </w:p>
    <w:p>
      <w:pPr>
        <w:pStyle w:val="ListBullet"/>
      </w:pPr>
      <w:r>
        <w:t>GeoJSON sources describe facility locations, district boundaries, and catchment polygons.</w:t>
      </w:r>
    </w:p>
    <w:p>
      <w:pPr>
        <w:pStyle w:val="ListBullet"/>
      </w:pPr>
      <w:r>
        <w:t>Document sources provide operating protocols that can be vectorized for grounded assistant responses.</w:t>
      </w:r>
    </w:p>
    <w:p>
      <w:r>
        <w:t>Workshop note: this page is synthetic and contains no patient identifiers, exact addresses, or protected health information.</w:t>
      </w:r>
    </w:p>
    <w:p>
      <w:r>
        <w:br w:type="page"/>
      </w:r>
    </w:p>
    <w:p>
      <w:pPr>
        <w:pStyle w:val="Heading1"/>
      </w:pPr>
      <w:r>
        <w:t>3. Access and Capacity Play</w:t>
      </w:r>
    </w:p>
    <w:p>
      <w:pPr>
        <w:spacing w:after="160"/>
      </w:pPr>
      <w:r>
        <w:t>The access and capacity play is triggered when emergency wait variance, outpatient wait variance, bed occupancy, or access risk score exceeds agreed thresholds.</w:t>
      </w:r>
    </w:p>
    <w:p>
      <w:pPr>
        <w:spacing w:after="160"/>
      </w:pPr>
      <w:r>
        <w:t>Facility leaders review same-day capacity events together with Gold daily access measures to separate transient queue pressure from structural demand gaps.</w:t>
      </w:r>
    </w:p>
    <w:p>
      <w:pPr>
        <w:spacing w:after="160"/>
      </w:pPr>
      <w:r>
        <w:t>Actions should be district-aware: high pressure in a district with few facilities may require mobile sessions, not only local staffing changes.</w:t>
      </w:r>
    </w:p>
    <w:p>
      <w:pPr>
        <w:pStyle w:val="ListBullet"/>
      </w:pPr>
      <w:r>
        <w:t>High ED wait variance: assign flex clinical staff and route non-urgent demand to same-day clinics.</w:t>
      </w:r>
    </w:p>
    <w:p>
      <w:pPr>
        <w:pStyle w:val="ListBullet"/>
      </w:pPr>
      <w:r>
        <w:t>High occupancy: accelerate discharge coordination, review transfer options, and monitor diversion status.</w:t>
      </w:r>
    </w:p>
    <w:p>
      <w:pPr>
        <w:pStyle w:val="ListBullet"/>
      </w:pPr>
      <w:r>
        <w:t>High outpatient wait variance: open targeted evening or weekend appointment blocks.</w:t>
      </w:r>
    </w:p>
    <w:p>
      <w:r>
        <w:t>Workshop note: this page is synthetic and contains no patient identifiers, exact addresses, or protected health information.</w:t>
      </w:r>
    </w:p>
    <w:p>
      <w:r>
        <w:br w:type="page"/>
      </w:r>
    </w:p>
    <w:p>
      <w:pPr>
        <w:pStyle w:val="Heading1"/>
      </w:pPr>
      <w:r>
        <w:t>4. Immunization Equity Play</w:t>
      </w:r>
    </w:p>
    <w:p>
      <w:pPr>
        <w:spacing w:after="160"/>
      </w:pPr>
      <w:r>
        <w:t>Immunization performance is assessed by district, age group, eligibility, booked appointments, missed appointments, walk-ins, and administered doses.</w:t>
      </w:r>
    </w:p>
    <w:p>
      <w:pPr>
        <w:spacing w:after="160"/>
      </w:pPr>
      <w:r>
        <w:t>The equity play focuses on older residents, medically vulnerable residents, and districts with high deprivation or high no-show rates.</w:t>
      </w:r>
    </w:p>
    <w:p>
      <w:pPr>
        <w:spacing w:after="160"/>
      </w:pPr>
      <w:r>
        <w:t>Leaders should pair completion-rate gaps with local access signals and spatial catchment context before assigning interventions.</w:t>
      </w:r>
    </w:p>
    <w:p>
      <w:pPr>
        <w:pStyle w:val="ListBullet"/>
      </w:pPr>
      <w:r>
        <w:t>Use community health workers for older resident outreach in high-need districts.</w:t>
      </w:r>
    </w:p>
    <w:p>
      <w:pPr>
        <w:pStyle w:val="ListBullet"/>
      </w:pPr>
      <w:r>
        <w:t>Use reminder campaigns when missed appointments are high but booked appointments are strong.</w:t>
      </w:r>
    </w:p>
    <w:p>
      <w:pPr>
        <w:pStyle w:val="ListBullet"/>
      </w:pPr>
      <w:r>
        <w:t>Use mobile clinics when spatial residents-per-facility measures indicate access pressure.</w:t>
      </w:r>
    </w:p>
    <w:p>
      <w:r>
        <w:t>Workshop note: this page is synthetic and contains no patient identifiers, exact addresses, or protected health information.</w:t>
      </w:r>
    </w:p>
    <w:p>
      <w:r>
        <w:br w:type="page"/>
      </w:r>
    </w:p>
    <w:p>
      <w:pPr>
        <w:pStyle w:val="Heading1"/>
      </w:pPr>
      <w:r>
        <w:t>5. Respiratory Surveillance Play</w:t>
      </w:r>
    </w:p>
    <w:p>
      <w:pPr>
        <w:spacing w:after="160"/>
      </w:pPr>
      <w:r>
        <w:t>The respiratory surveillance play combines positivity rate, positive tests, respiratory-related emergency visits, and district public-health pressure index.</w:t>
      </w:r>
    </w:p>
    <w:p>
      <w:pPr>
        <w:spacing w:after="160"/>
      </w:pPr>
      <w:r>
        <w:t>Rising positivity is not automatically a capacity crisis; it becomes operationally urgent when paired with ED waits, occupancy, and staffing overtime.</w:t>
      </w:r>
    </w:p>
    <w:p>
      <w:pPr>
        <w:spacing w:after="160"/>
      </w:pPr>
      <w:r>
        <w:t>The weekly executive review should look for districts where surveillance pressure and access risk are rising together.</w:t>
      </w:r>
    </w:p>
    <w:p>
      <w:pPr>
        <w:pStyle w:val="ListBullet"/>
      </w:pPr>
      <w:r>
        <w:t>Extend respiratory assessment clinic hours when positivity and ED arrivals increase together.</w:t>
      </w:r>
    </w:p>
    <w:p>
      <w:pPr>
        <w:pStyle w:val="ListBullet"/>
      </w:pPr>
      <w:r>
        <w:t>Prepare patient communications when positivity rises in districts with high no-show rates.</w:t>
      </w:r>
    </w:p>
    <w:p>
      <w:pPr>
        <w:pStyle w:val="ListBullet"/>
      </w:pPr>
      <w:r>
        <w:t>Coordinate test kit distribution when supply alerts appear in capacity JSON events.</w:t>
      </w:r>
    </w:p>
    <w:p>
      <w:r>
        <w:t>Workshop note: this page is synthetic and contains no patient identifiers, exact addresses, or protected health information.</w:t>
      </w:r>
    </w:p>
    <w:p>
      <w:r>
        <w:br w:type="page"/>
      </w:r>
    </w:p>
    <w:p>
      <w:pPr>
        <w:pStyle w:val="Heading1"/>
      </w:pPr>
      <w:r>
        <w:t>6. Spatial Response Model</w:t>
      </w:r>
    </w:p>
    <w:p>
      <w:pPr>
        <w:spacing w:after="160"/>
      </w:pPr>
      <w:r>
        <w:t>Spatial analytics connects district demand, facility locations, catchment coverage, and public-health pressure so leaders can see where geography contributes to service risk.</w:t>
      </w:r>
    </w:p>
    <w:p>
      <w:pPr>
        <w:spacing w:after="160"/>
      </w:pPr>
      <w:r>
        <w:t>The workshop uses synthetic GeoJSON to show facility points, district boundaries, and catchment polygons in a map-ready format.</w:t>
      </w:r>
    </w:p>
    <w:p>
      <w:pPr>
        <w:spacing w:after="160"/>
      </w:pPr>
      <w:r>
        <w:t>Spatial insights should be interpreted as planning signals, not exact routing or emergency dispatch instructions.</w:t>
      </w:r>
    </w:p>
    <w:p>
      <w:pPr>
        <w:pStyle w:val="ListBullet"/>
      </w:pPr>
      <w:r>
        <w:t>Residents per facility highlights districts where access may be structurally constrained.</w:t>
      </w:r>
    </w:p>
    <w:p>
      <w:pPr>
        <w:pStyle w:val="ListBullet"/>
      </w:pPr>
      <w:r>
        <w:t>Average distance to facility helps identify catchment friction for preventive services.</w:t>
      </w:r>
    </w:p>
    <w:p>
      <w:pPr>
        <w:pStyle w:val="ListBullet"/>
      </w:pPr>
      <w:r>
        <w:t>High pressure plus high residents per facility is a strong candidate for mobile outreach.</w:t>
      </w:r>
    </w:p>
    <w:p>
      <w:r>
        <w:t>Workshop note: this page is synthetic and contains no patient identifiers, exact addresses, or protected health information.</w:t>
      </w:r>
    </w:p>
    <w:p>
      <w:r>
        <w:br w:type="page"/>
      </w:r>
    </w:p>
    <w:p>
      <w:pPr>
        <w:pStyle w:val="Heading1"/>
      </w:pPr>
      <w:r>
        <w:t>7. Service Quality and Readmission Play</w:t>
      </w:r>
    </w:p>
    <w:p>
      <w:pPr>
        <w:spacing w:after="160"/>
      </w:pPr>
      <w:r>
        <w:t>Quality events are monitored by facility, severity, event type, days to close, SLA breach count, and avoidable readmission relevance.</w:t>
      </w:r>
    </w:p>
    <w:p>
      <w:pPr>
        <w:spacing w:after="160"/>
      </w:pPr>
      <w:r>
        <w:t>The quality play links capacity stress with closure delays so leaders can decide whether issues are isolated, operational, or system-wide.</w:t>
      </w:r>
    </w:p>
    <w:p>
      <w:pPr>
        <w:spacing w:after="160"/>
      </w:pPr>
      <w:r>
        <w:t>Quality dashboards should always include an action owner, expected completion date, and next review cadence.</w:t>
      </w:r>
    </w:p>
    <w:p>
      <w:pPr>
        <w:pStyle w:val="ListBullet"/>
      </w:pPr>
      <w:r>
        <w:t>Escalate high-severity events that remain open longer than fourteen days.</w:t>
      </w:r>
    </w:p>
    <w:p>
      <w:pPr>
        <w:pStyle w:val="ListBullet"/>
      </w:pPr>
      <w:r>
        <w:t>Prioritize discharge coordination when avoidable readmission signals cluster at high-occupancy sites.</w:t>
      </w:r>
    </w:p>
    <w:p>
      <w:pPr>
        <w:pStyle w:val="ListBullet"/>
      </w:pPr>
      <w:r>
        <w:t>Review staffing rosters when event volume rises with overtime hours.</w:t>
      </w:r>
    </w:p>
    <w:p>
      <w:r>
        <w:t>Workshop note: this page is synthetic and contains no patient identifiers, exact addresses, or protected health information.</w:t>
      </w:r>
    </w:p>
    <w:p>
      <w:r>
        <w:br w:type="page"/>
      </w:r>
    </w:p>
    <w:p>
      <w:pPr>
        <w:pStyle w:val="Heading1"/>
      </w:pPr>
      <w:r>
        <w:t>8. Real-Time Operations Play</w:t>
      </w:r>
    </w:p>
    <w:p>
      <w:pPr>
        <w:spacing w:after="160"/>
      </w:pPr>
      <w:r>
        <w:t>GoldenGate and streaming patterns can complement scheduled batch processing when leaders need a live or near-live operating view.</w:t>
      </w:r>
    </w:p>
    <w:p>
      <w:pPr>
        <w:spacing w:after="160"/>
      </w:pPr>
      <w:r>
        <w:t>GoldenGate is best suited for transactional change capture from operational systems into the lakehouse ecosystem.</w:t>
      </w:r>
    </w:p>
    <w:p>
      <w:pPr>
        <w:spacing w:after="160"/>
      </w:pPr>
      <w:r>
        <w:t>Kafka-compatible streaming through AIDP is best suited for telemetry, queue snapshots, and facility command-center events.</w:t>
      </w:r>
    </w:p>
    <w:p>
      <w:pPr>
        <w:pStyle w:val="ListBullet"/>
      </w:pPr>
      <w:r>
        <w:t>Use GoldenGate for source database changes such as appointments, admissions, discharges, and quality-event status.</w:t>
      </w:r>
    </w:p>
    <w:p>
      <w:pPr>
        <w:pStyle w:val="ListBullet"/>
      </w:pPr>
      <w:r>
        <w:t>Use Kafka-compatible streaming for wait-time snapshots, triage counts, occupancy signals, and supply alerts.</w:t>
      </w:r>
    </w:p>
    <w:p>
      <w:pPr>
        <w:pStyle w:val="ListBullet"/>
      </w:pPr>
      <w:r>
        <w:t>Keep streaming Gold tables compact and focused on operational decisions.</w:t>
      </w:r>
    </w:p>
    <w:p>
      <w:r>
        <w:t>Workshop note: this page is synthetic and contains no patient identifiers, exact addresses, or protected health information.</w:t>
      </w:r>
    </w:p>
    <w:p>
      <w:r>
        <w:br w:type="page"/>
      </w:r>
    </w:p>
    <w:p>
      <w:pPr>
        <w:pStyle w:val="Heading1"/>
      </w:pPr>
      <w:r>
        <w:t>9. OAC Dashboard Operating Model</w:t>
      </w:r>
    </w:p>
    <w:p>
      <w:pPr>
        <w:spacing w:after="160"/>
      </w:pPr>
      <w:r>
        <w:t>Oracle Analytics Cloud dashboards should provide a horizontal dashboard navigation pattern with shared filters for district, facility type, pressure band, and reporting period.</w:t>
      </w:r>
    </w:p>
    <w:p>
      <w:pPr>
        <w:spacing w:after="160"/>
      </w:pPr>
      <w:r>
        <w:t>Each dashboard tab should answer a different decision question and use the same trusted Gold objects from Autonomous AI Lakehouse.</w:t>
      </w:r>
    </w:p>
    <w:p>
      <w:pPr>
        <w:spacing w:after="160"/>
      </w:pPr>
      <w:r>
        <w:t>Interactive filters are important because public-health leaders often review the same metric at executive, district, facility, and service-line levels.</w:t>
      </w:r>
    </w:p>
    <w:p>
      <w:pPr>
        <w:pStyle w:val="ListBullet"/>
      </w:pPr>
      <w:r>
        <w:t>Executive Overview: system pressure and priority actions.</w:t>
      </w:r>
    </w:p>
    <w:p>
      <w:pPr>
        <w:pStyle w:val="ListBullet"/>
      </w:pPr>
      <w:r>
        <w:t>Access and Capacity: wait-time, occupancy, overtime, and action queues.</w:t>
      </w:r>
    </w:p>
    <w:p>
      <w:pPr>
        <w:pStyle w:val="ListBullet"/>
      </w:pPr>
      <w:r>
        <w:t>Immunization Equity: uptake, no-shows, and age-group gaps.</w:t>
      </w:r>
    </w:p>
    <w:p>
      <w:pPr>
        <w:pStyle w:val="ListBullet"/>
      </w:pPr>
      <w:r>
        <w:t>Spatial Insights: catchment and residents-per-facility planning signals.</w:t>
      </w:r>
    </w:p>
    <w:p>
      <w:pPr>
        <w:pStyle w:val="ListBullet"/>
      </w:pPr>
      <w:r>
        <w:t>Document Chat: grounded answers from Gold metrics and vectorized operating guidance.</w:t>
      </w:r>
    </w:p>
    <w:p>
      <w:r>
        <w:t>Workshop note: this page is synthetic and contains no patient identifiers, exact addresses, or protected health information.</w:t>
      </w:r>
    </w:p>
    <w:p>
      <w:r>
        <w:br w:type="page"/>
      </w:r>
    </w:p>
    <w:p>
      <w:pPr>
        <w:pStyle w:val="Heading1"/>
      </w:pPr>
      <w:r>
        <w:t>10. Chat with Data and Documents</w:t>
      </w:r>
    </w:p>
    <w:p>
      <w:pPr>
        <w:spacing w:after="160"/>
      </w:pPr>
      <w:r>
        <w:t>The document-chat use case combines structured Gold metrics with vectorized policy and operating guidance from this playbook.</w:t>
      </w:r>
    </w:p>
    <w:p>
      <w:pPr>
        <w:spacing w:after="160"/>
      </w:pPr>
      <w:r>
        <w:t>The assistant should retrieve relevant chunks, cite the source page or section, and combine those chunks with filtered Gold measures.</w:t>
      </w:r>
    </w:p>
    <w:p>
      <w:pPr>
        <w:spacing w:after="160"/>
      </w:pPr>
      <w:r>
        <w:t>Responses must distinguish synthetic workshop facts from general recommendations and should avoid claiming patient-specific guidance.</w:t>
      </w:r>
    </w:p>
    <w:p>
      <w:pPr>
        <w:pStyle w:val="ListBullet"/>
      </w:pPr>
      <w:r>
        <w:t>Example question: Which districts should receive mobile clinic sessions this week?</w:t>
      </w:r>
    </w:p>
    <w:p>
      <w:pPr>
        <w:pStyle w:val="ListBullet"/>
      </w:pPr>
      <w:r>
        <w:t>Example question: Why is East River marked high pressure and what does the playbook recommend?</w:t>
      </w:r>
    </w:p>
    <w:p>
      <w:pPr>
        <w:pStyle w:val="ListBullet"/>
      </w:pPr>
      <w:r>
        <w:t>Example question: What operational actions are appropriate when occupancy and ED wait variance rise together?</w:t>
      </w:r>
    </w:p>
    <w:p>
      <w:r>
        <w:t>Workshop note: this page is synthetic and contains no patient identifiers, exact addresses, or protected health information.</w:t>
      </w:r>
    </w:p>
    <w:p>
      <w:r>
        <w:br w:type="page"/>
      </w:r>
    </w:p>
    <w:p>
      <w:pPr>
        <w:pStyle w:val="Heading1"/>
      </w:pPr>
      <w:r>
        <w:t>11. Thresholds and Escalation</w:t>
      </w:r>
    </w:p>
    <w:p>
      <w:pPr>
        <w:spacing w:after="160"/>
      </w:pPr>
      <w:r>
        <w:t>Thresholds are configurable and should be reviewed by MPHA leaders before production use.</w:t>
      </w:r>
    </w:p>
    <w:p>
      <w:pPr>
        <w:spacing w:after="160"/>
      </w:pPr>
      <w:r>
        <w:t>The workshop uses thresholds that make the demo easy to understand: occupancy above ninety percent, pressure index above forty-five, and quality SLA over fourteen days.</w:t>
      </w:r>
    </w:p>
    <w:p>
      <w:pPr>
        <w:spacing w:after="160"/>
      </w:pPr>
      <w:r>
        <w:t>Escalation should always include the current metric value, recent trend, related district context, recommended owner, and next review time.</w:t>
      </w:r>
    </w:p>
    <w:p>
      <w:pPr>
        <w:pStyle w:val="ListBullet"/>
      </w:pPr>
      <w:r>
        <w:t>Access escalation: ED wait variance above twenty minutes and occupancy above ninety percent.</w:t>
      </w:r>
    </w:p>
    <w:p>
      <w:pPr>
        <w:pStyle w:val="ListBullet"/>
      </w:pPr>
      <w:r>
        <w:t>Equity escalation: no-show rate above nine percent in high-deprivation districts.</w:t>
      </w:r>
    </w:p>
    <w:p>
      <w:pPr>
        <w:pStyle w:val="ListBullet"/>
      </w:pPr>
      <w:r>
        <w:t>Quality escalation: high-severity events with closure days above fourteen.</w:t>
      </w:r>
    </w:p>
    <w:p>
      <w:r>
        <w:t>Workshop note: this page is synthetic and contains no patient identifiers, exact addresses, or protected health information.</w:t>
      </w:r>
    </w:p>
    <w:p>
      <w:r>
        <w:br w:type="page"/>
      </w:r>
    </w:p>
    <w:p>
      <w:pPr>
        <w:pStyle w:val="Heading1"/>
      </w:pPr>
      <w:r>
        <w:t>12. Workshop Facilitation Notes</w:t>
      </w:r>
    </w:p>
    <w:p>
      <w:pPr>
        <w:spacing w:after="160"/>
      </w:pPr>
      <w:r>
        <w:t>Facilitators should emphasize the end-to-end flow: raw CSV, JSON, GeoJSON, and document sources become Bronze, Silver, Gold, dashboards, spatial insights, and document-grounded answers.</w:t>
      </w:r>
    </w:p>
    <w:p>
      <w:pPr>
        <w:spacing w:after="160"/>
      </w:pPr>
      <w:r>
        <w:t>Teams can run the main labs in three hours and then choose optional real-time or stream analytics labs if the execution environment is ready.</w:t>
      </w:r>
    </w:p>
    <w:p>
      <w:pPr>
        <w:spacing w:after="160"/>
      </w:pPr>
      <w:r>
        <w:t>The final discussion should connect technical assets to business decisions: staffing, mobile clinics, outreach, respiratory preparedness, and quality closure.</w:t>
      </w:r>
    </w:p>
    <w:p>
      <w:pPr>
        <w:pStyle w:val="ListBullet"/>
      </w:pPr>
      <w:r>
        <w:t>Keep all examples synthetic and aggregate.</w:t>
      </w:r>
    </w:p>
    <w:p>
      <w:pPr>
        <w:pStyle w:val="ListBullet"/>
      </w:pPr>
      <w:r>
        <w:t>Confirm service names and tenancy-specific paths before delivery.</w:t>
      </w:r>
    </w:p>
    <w:p>
      <w:pPr>
        <w:pStyle w:val="ListBullet"/>
      </w:pPr>
      <w:r>
        <w:t>Validate dashboard filters and document-chat prompts during rehearsal.</w:t>
      </w:r>
    </w:p>
    <w:p>
      <w:r>
        <w:t>Workshop note: this page is synthetic and contains no patient identifiers, exact addresses, or protected health information.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7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