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Politique de contrôle d'accès</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Politique de contrôle d'accès</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La présente politique établit les règles régissant qui peut accéder aux systèmes, aux réseaux et à l'information contrôlée non classifiée (CUI) de [Nom de l'organisation], et ce que ces personnes peuvent faire une fois l'accès accordé. Les accès non autorisés ou excessifs comptent parmi les principales causes d'atteintes aux données et de manquements à la conformité. En imposant une gestion rigoureuse des comptes, le moindre privilège et des contrôles de session, cette politique réduit le risque que des CUI soient consultés, modifiés ou divulgués sans autorisation — que ce soit par des initiés, des identifiants compromis ou des tiers.</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Tous les employés, sous-traitants, consultants, fournisseurs et toute autre personne qui accède aux systèmes ou aux données de l'organisation.</w:t>
      </w:r>
    </w:p>
    <w:p>
      <w:pPr>
        <w:ind w:left="360"/>
      </w:pPr>
      <w:r>
        <w:rPr>
          <w:rFonts w:ascii="Arial" w:hAnsi="Arial"/>
          <w:sz w:val="21"/>
        </w:rPr>
        <w:t>•  Tous les systèmes d'information détenus, exploités ou gérés par [Nom de l'organisation], y compris les services infonuagiques, les serveurs sur place, les postes, les appareils mobiles et les technologies opérationnelles qui traitent, stockent ou transmettent des CUI.</w:t>
      </w:r>
    </w:p>
    <w:p>
      <w:pPr>
        <w:ind w:left="360"/>
      </w:pPr>
      <w:r>
        <w:rPr>
          <w:rFonts w:ascii="Arial" w:hAnsi="Arial"/>
          <w:sz w:val="21"/>
        </w:rPr>
        <w:t>•  Les systèmes de tiers qui se connectent aux réseaux de l'organisation ou qui traitent des CUI pour son compte.</w:t>
      </w:r>
    </w:p>
    <w:p>
      <w:r>
        <w:rPr>
          <w:rFonts w:ascii="Arial" w:hAnsi="Arial"/>
          <w:sz w:val="21"/>
        </w:rPr>
        <w:t>Lorsque des CUI sont en cause, les exigences sont non négociables et prévalent sur la commodité ou les préférences opérationnelles.</w:t>
      </w:r>
    </w:p>
    <w:p>
      <w:pPr>
        <w:spacing w:before="200" w:after="80"/>
      </w:pPr>
      <w:r>
        <w:rPr>
          <w:rFonts w:ascii="Arial" w:hAnsi="Arial"/>
          <w:b/>
          <w:color w:val="2E5FA3"/>
          <w:sz w:val="26"/>
        </w:rPr>
        <w:t>3.  Définitions</w:t>
      </w:r>
    </w:p>
    <w:p>
      <w:r>
        <w:rPr>
          <w:rFonts w:ascii="Arial" w:hAnsi="Arial"/>
          <w:b/>
          <w:sz w:val="21"/>
        </w:rPr>
        <w:t xml:space="preserve">Compte: </w:t>
      </w:r>
      <w:r>
        <w:rPr>
          <w:rFonts w:ascii="Arial" w:hAnsi="Arial"/>
          <w:sz w:val="21"/>
        </w:rPr>
        <w:t>Une identité d'utilisateur (nom d'utilisateur + identifiant) qui donne accès à un système ou à une application.</w:t>
      </w:r>
    </w:p>
    <w:p>
      <w:r>
        <w:rPr>
          <w:rFonts w:ascii="Arial" w:hAnsi="Arial"/>
          <w:b/>
          <w:sz w:val="21"/>
        </w:rPr>
        <w:t xml:space="preserve">Moindre privilège: </w:t>
      </w:r>
      <w:r>
        <w:rPr>
          <w:rFonts w:ascii="Arial" w:hAnsi="Arial"/>
          <w:sz w:val="21"/>
        </w:rPr>
        <w:t>N'accorder à un utilisateur que l'accès minimal nécessaire à ses fonctions — rien de plus.</w:t>
      </w:r>
    </w:p>
    <w:p>
      <w:r>
        <w:rPr>
          <w:rFonts w:ascii="Arial" w:hAnsi="Arial"/>
          <w:b/>
          <w:sz w:val="21"/>
        </w:rPr>
        <w:t xml:space="preserve">Compte privilégié: </w:t>
      </w:r>
      <w:r>
        <w:rPr>
          <w:rFonts w:ascii="Arial" w:hAnsi="Arial"/>
          <w:sz w:val="21"/>
        </w:rPr>
        <w:t>Un compte doté de droits élevés (p. ex. administrateur, racine, compte système) pouvant configurer des systèmes, gérer des comptes ou contourner des contrôles.</w:t>
      </w:r>
    </w:p>
    <w:p>
      <w:r>
        <w:rPr>
          <w:rFonts w:ascii="Arial" w:hAnsi="Arial"/>
          <w:b/>
          <w:sz w:val="21"/>
        </w:rPr>
        <w:t xml:space="preserve">Séparation des tâches (SoD): </w:t>
      </w:r>
      <w:r>
        <w:rPr>
          <w:rFonts w:ascii="Arial" w:hAnsi="Arial"/>
          <w:sz w:val="21"/>
        </w:rPr>
        <w:t>Répartir les tâches critiques entre deux personnes ou plus afin qu'aucune seule ne puisse commettre une fraude ou une erreur critique sans être détectée.</w:t>
      </w:r>
    </w:p>
    <w:p>
      <w:r>
        <w:rPr>
          <w:rFonts w:ascii="Arial" w:hAnsi="Arial"/>
          <w:b/>
          <w:sz w:val="21"/>
        </w:rPr>
        <w:t xml:space="preserve">Authentification multifacteur (AMF): </w:t>
      </w:r>
      <w:r>
        <w:rPr>
          <w:rFonts w:ascii="Arial" w:hAnsi="Arial"/>
          <w:sz w:val="21"/>
        </w:rPr>
        <w:t>Exiger deux preuves d'identité indépendantes ou plus (p. ex. mot de passe + code au téléphone) avant d'accorder l'accès.</w:t>
      </w:r>
    </w:p>
    <w:p>
      <w:r>
        <w:rPr>
          <w:rFonts w:ascii="Arial" w:hAnsi="Arial"/>
          <w:b/>
          <w:sz w:val="21"/>
        </w:rPr>
        <w:t xml:space="preserve">Verrouillage de session: </w:t>
      </w:r>
      <w:r>
        <w:rPr>
          <w:rFonts w:ascii="Arial" w:hAnsi="Arial"/>
          <w:sz w:val="21"/>
        </w:rPr>
        <w:t>Masquer automatiquement l'écran et exiger une réauthentification après une période d'inactivité.</w:t>
      </w:r>
    </w:p>
    <w:p>
      <w:r>
        <w:rPr>
          <w:rFonts w:ascii="Arial" w:hAnsi="Arial"/>
          <w:b/>
          <w:sz w:val="21"/>
        </w:rPr>
        <w:t xml:space="preserve">Accès à distance: </w:t>
      </w:r>
      <w:r>
        <w:rPr>
          <w:rFonts w:ascii="Arial" w:hAnsi="Arial"/>
          <w:sz w:val="21"/>
        </w:rPr>
        <w:t>Se connecter aux systèmes de l'organisation depuis l'extérieur de ses locaux physiques.</w:t>
      </w:r>
    </w:p>
    <w:p>
      <w:r>
        <w:rPr>
          <w:rFonts w:ascii="Arial" w:hAnsi="Arial"/>
          <w:b/>
          <w:sz w:val="21"/>
        </w:rPr>
        <w:t xml:space="preserve">GAM (gestion des appareils mobiles): </w:t>
      </w:r>
      <w:r>
        <w:rPr>
          <w:rFonts w:ascii="Arial" w:hAnsi="Arial"/>
          <w:sz w:val="21"/>
        </w:rPr>
        <w:t>Logiciel qui applique des politiques de sécurité sur les téléphones et tablettes.</w:t>
      </w:r>
    </w:p>
    <w:p>
      <w:r>
        <w:rPr>
          <w:rFonts w:ascii="Arial" w:hAnsi="Arial"/>
          <w:b/>
          <w:sz w:val="21"/>
        </w:rPr>
        <w:t xml:space="preserve">Système externe: </w:t>
      </w:r>
      <w:r>
        <w:rPr>
          <w:rFonts w:ascii="Arial" w:hAnsi="Arial"/>
          <w:sz w:val="21"/>
        </w:rPr>
        <w:t>Tout système non détenu ni contrôlé par [Nom de l'organisation], y compris les ordinateurs personnels et services infonuagiques non autorisés dans le SSP.</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[Gestionnaire TI / ISSO]</w:t>
            </w:r>
          </w:p>
        </w:tc>
        <w:tc>
          <w:tcPr>
            <w:tcW w:type="dxa" w:w="5040"/>
          </w:tcPr>
          <w:p>
            <w:r/>
            <w:r>
              <w:rPr>
                <w:rFonts w:ascii="Arial" w:hAnsi="Arial"/>
                <w:b w:val="0"/>
                <w:sz w:val="20"/>
              </w:rPr>
              <w:t>Être propriétaire de la politique; approuver les comptes et privilèges; réviser les accès chaque trimestre; tenir l'inventaire des comptes; signaler les manquements.</w:t>
            </w:r>
          </w:p>
        </w:tc>
      </w:tr>
      <w:tr>
        <w:tc>
          <w:tcPr>
            <w:tcW w:type="dxa" w:w="5040"/>
          </w:tcPr>
          <w:p>
            <w:r/>
            <w:r>
              <w:rPr>
                <w:rFonts w:ascii="Arial" w:hAnsi="Arial"/>
                <w:b w:val="0"/>
                <w:sz w:val="20"/>
              </w:rPr>
              <w:t>[Administrateur système]</w:t>
            </w:r>
          </w:p>
        </w:tc>
        <w:tc>
          <w:tcPr>
            <w:tcW w:type="dxa" w:w="5040"/>
          </w:tcPr>
          <w:p>
            <w:r/>
            <w:r>
              <w:rPr>
                <w:rFonts w:ascii="Arial" w:hAnsi="Arial"/>
                <w:b w:val="0"/>
                <w:sz w:val="20"/>
              </w:rPr>
              <w:t>Mettre en œuvre les contrôles d'accès; exécuter l'approvisionnement et le retrait des accès; produire et conserver les journaux d'accès.</w:t>
            </w:r>
          </w:p>
        </w:tc>
      </w:tr>
      <w:tr>
        <w:tc>
          <w:tcPr>
            <w:tcW w:type="dxa" w:w="5040"/>
          </w:tcPr>
          <w:p>
            <w:r/>
            <w:r>
              <w:rPr>
                <w:rFonts w:ascii="Arial" w:hAnsi="Arial"/>
                <w:b w:val="0"/>
                <w:sz w:val="20"/>
              </w:rPr>
              <w:t>[Ressources humaines]</w:t>
            </w:r>
          </w:p>
        </w:tc>
        <w:tc>
          <w:tcPr>
            <w:tcW w:type="dxa" w:w="5040"/>
          </w:tcPr>
          <w:p>
            <w:r/>
            <w:r>
              <w:rPr>
                <w:rFonts w:ascii="Arial" w:hAnsi="Arial"/>
                <w:b w:val="0"/>
                <w:sz w:val="20"/>
              </w:rPr>
              <w:t>Aviser les TI dans les [1 jour ouvrable] des embauches, changements de rôle et départs pour déclencher les actions sur les comptes.</w:t>
            </w:r>
          </w:p>
        </w:tc>
      </w:tr>
      <w:tr>
        <w:tc>
          <w:tcPr>
            <w:tcW w:type="dxa" w:w="5040"/>
          </w:tcPr>
          <w:p>
            <w:r/>
            <w:r>
              <w:rPr>
                <w:rFonts w:ascii="Arial" w:hAnsi="Arial"/>
                <w:b w:val="0"/>
                <w:sz w:val="20"/>
              </w:rPr>
              <w:t>[Gestionnaire de service / Superviseur]</w:t>
            </w:r>
          </w:p>
        </w:tc>
        <w:tc>
          <w:tcPr>
            <w:tcW w:type="dxa" w:w="5040"/>
          </w:tcPr>
          <w:p>
            <w:r/>
            <w:r>
              <w:rPr>
                <w:rFonts w:ascii="Arial" w:hAnsi="Arial"/>
                <w:b w:val="0"/>
                <w:sz w:val="20"/>
              </w:rPr>
              <w:t>Autoriser les demandes d'accès de leur équipe; confirmer les attributions de moindre privilège; approuver les exceptions de leur portée.</w:t>
            </w:r>
          </w:p>
        </w:tc>
      </w:tr>
      <w:tr>
        <w:tc>
          <w:tcPr>
            <w:tcW w:type="dxa" w:w="5040"/>
          </w:tcPr>
          <w:p>
            <w:r/>
            <w:r>
              <w:rPr>
                <w:rFonts w:ascii="Arial" w:hAnsi="Arial"/>
                <w:b w:val="0"/>
                <w:sz w:val="20"/>
              </w:rPr>
              <w:t>Tous les utilisateurs</w:t>
            </w:r>
          </w:p>
        </w:tc>
        <w:tc>
          <w:tcPr>
            <w:tcW w:type="dxa" w:w="5040"/>
          </w:tcPr>
          <w:p>
            <w:r/>
            <w:r>
              <w:rPr>
                <w:rFonts w:ascii="Arial" w:hAnsi="Arial"/>
                <w:b w:val="0"/>
                <w:sz w:val="20"/>
              </w:rPr>
              <w:t>N'utiliser que les comptes et privilèges qui leur sont attribués; signaler immédiatement tout accès non autorisé soupçonné.</w:t>
            </w:r>
          </w:p>
        </w:tc>
      </w:tr>
      <w:tr>
        <w:tc>
          <w:tcPr>
            <w:tcW w:type="dxa" w:w="5040"/>
          </w:tcPr>
          <w:p>
            <w:r/>
            <w:r>
              <w:rPr>
                <w:rFonts w:ascii="Arial" w:hAnsi="Arial"/>
                <w:b w:val="0"/>
                <w:sz w:val="20"/>
              </w:rPr>
              <w:t>[Haute direction / RSSI]</w:t>
            </w:r>
          </w:p>
        </w:tc>
        <w:tc>
          <w:tcPr>
            <w:tcW w:type="dxa" w:w="5040"/>
          </w:tcPr>
          <w:p>
            <w:r/>
            <w:r>
              <w:rPr>
                <w:rFonts w:ascii="Arial" w:hAnsi="Arial"/>
                <w:b w:val="0"/>
                <w:sz w:val="20"/>
              </w:rPr>
              <w:t>Approuver la politique; examiner les indicateurs de conformité; accepter le risque résiduel pour les exceptions documentées.</w:t>
            </w:r>
          </w:p>
        </w:tc>
      </w:tr>
    </w:tbl>
    <w:p/>
    <w:p>
      <w:pPr>
        <w:spacing w:before="200" w:after="80"/>
      </w:pPr>
      <w:r>
        <w:rPr>
          <w:rFonts w:ascii="Arial" w:hAnsi="Arial"/>
          <w:b/>
          <w:color w:val="2E5FA3"/>
          <w:sz w:val="26"/>
        </w:rPr>
        <w:t>5.  Énoncés de politique</w:t>
      </w:r>
    </w:p>
    <w:p>
      <w:r>
        <w:rPr>
          <w:rFonts w:ascii="Arial" w:hAnsi="Arial"/>
          <w:b/>
          <w:color w:val="2E5FA3"/>
          <w:sz w:val="21"/>
        </w:rPr>
        <w:t>PS-1  Autorisation des comptes</w:t>
      </w:r>
    </w:p>
    <w:p>
      <w:r>
        <w:rPr>
          <w:rFonts w:ascii="Arial" w:hAnsi="Arial"/>
          <w:sz w:val="21"/>
        </w:rPr>
        <w:t>Tous les comptes d'utilisateur et de service doivent être officiellement autorisés par un propriétaire de compte avant leur création. L'autorisation doit être documentée (p. ex. un formulaire de demande d'accès signé ou un billet). Un inventaire complet des comptes — type, propriétaire et niveau d'accès — doit être tenu à jour en tout temps.</w:t>
      </w:r>
    </w:p>
    <w:p>
      <w:r>
        <w:rPr>
          <w:rFonts w:ascii="Arial" w:hAnsi="Arial"/>
          <w:b/>
          <w:color w:val="2E5FA3"/>
          <w:sz w:val="21"/>
        </w:rPr>
        <w:t>PS-2  Types de comptes</w:t>
      </w:r>
    </w:p>
    <w:p>
      <w:r>
        <w:rPr>
          <w:rFonts w:ascii="Arial" w:hAnsi="Arial"/>
          <w:sz w:val="21"/>
        </w:rPr>
        <w:t>L'organisation doit définir et appliquer des types de comptes distincts (utilisateur individuel, service/partagé, privilégié/administrateur, invité). Les comptes partagés sont interdits sur les systèmes traitant des CUI, sauf s'ils sont techniquement inévitables et explicitement approuvés, avec des contrôles compensatoires documentés dans le SSP.</w:t>
      </w:r>
    </w:p>
    <w:p>
      <w:r>
        <w:rPr>
          <w:rFonts w:ascii="Arial" w:hAnsi="Arial"/>
          <w:b/>
          <w:color w:val="2E5FA3"/>
          <w:sz w:val="21"/>
        </w:rPr>
        <w:t>PS-3  Moindre privilège</w:t>
      </w:r>
    </w:p>
    <w:p>
      <w:r>
        <w:rPr>
          <w:rFonts w:ascii="Arial" w:hAnsi="Arial"/>
          <w:sz w:val="21"/>
        </w:rPr>
        <w:t>Chaque compte ne doit être doté que des permissions minimales requises pour la fonction de l'utilisateur. Les droits d'accès doivent être révisés [défini par l'organisation : au moins trimestriellement; recommandé : trimestriellement], et tout privilège excédentaire retiré dans les [défini par l'organisation : 5 jours ouvrables; recommandé : 5 jours ouvrables] suivant sa découverte.</w:t>
      </w:r>
    </w:p>
    <w:p>
      <w:r>
        <w:rPr>
          <w:rFonts w:ascii="Arial" w:hAnsi="Arial"/>
          <w:b/>
          <w:color w:val="2E5FA3"/>
          <w:sz w:val="21"/>
        </w:rPr>
        <w:t>PS-4  Séparation des tâches</w:t>
      </w:r>
    </w:p>
    <w:p>
      <w:r>
        <w:rPr>
          <w:rFonts w:ascii="Arial" w:hAnsi="Arial"/>
          <w:sz w:val="21"/>
        </w:rPr>
        <w:t>Les fonctions critiques ou à risque élevé — transactions financières au-delà d'un seuil, mise en production de code, approvisionnement des comptes — doivent être réparties de sorte qu'aucune personne seule ne puisse mener l'action à terme. L'organisation doit documenter les fonctions exigeant une séparation des tâches et tenir à jour une matrice des rôles.</w:t>
      </w:r>
    </w:p>
    <w:p>
      <w:r>
        <w:rPr>
          <w:rFonts w:ascii="Arial" w:hAnsi="Arial"/>
          <w:b/>
          <w:color w:val="2E5FA3"/>
          <w:sz w:val="21"/>
        </w:rPr>
        <w:t>PS-5  Contrôles des comptes privilégiés</w:t>
      </w:r>
    </w:p>
    <w:p>
      <w:r>
        <w:rPr>
          <w:rFonts w:ascii="Arial" w:hAnsi="Arial"/>
          <w:sz w:val="21"/>
        </w:rPr>
        <w:t>Les comptes privilégiés doivent être distincts des comptes standard. Les accès privilégiés ne doivent pas servir aux activités courantes (p. ex. courriel, navigation). Leur utilisation doit être journalisée. Le nombre de comptes privilégiés doit être limité au minimum nécessaire.</w:t>
      </w:r>
    </w:p>
    <w:p>
      <w:r>
        <w:rPr>
          <w:rFonts w:ascii="Arial" w:hAnsi="Arial"/>
          <w:b/>
          <w:color w:val="2E5FA3"/>
          <w:sz w:val="21"/>
        </w:rPr>
        <w:t>PS-6  Cessation et transfert des accès</w:t>
      </w:r>
    </w:p>
    <w:p>
      <w:r>
        <w:rPr>
          <w:rFonts w:ascii="Arial" w:hAnsi="Arial"/>
          <w:sz w:val="21"/>
        </w:rPr>
        <w:t>Lorsqu'une personne quitte l'organisation ou change de rôle, ses accès doivent être révisés et ajustés dans les [défini par l'organisation : 1 jour ouvrable pour un départ, 5 jours ouvrables pour un changement de rôle; recommandé : le jour même pour un départ]. Les RH doivent aviser les TI dans un délai de 1 jour ouvrable.</w:t>
      </w:r>
    </w:p>
    <w:p>
      <w:r>
        <w:rPr>
          <w:rFonts w:ascii="Arial" w:hAnsi="Arial"/>
          <w:b/>
          <w:color w:val="2E5FA3"/>
          <w:sz w:val="21"/>
        </w:rPr>
        <w:t>PS-7  Contrôles de l'accès à distance</w:t>
      </w:r>
    </w:p>
    <w:p>
      <w:r>
        <w:rPr>
          <w:rFonts w:ascii="Arial" w:hAnsi="Arial"/>
          <w:sz w:val="21"/>
        </w:rPr>
        <w:t>L'accès à distance doit être autorisé, chiffré au moyen de [défini par l'organisation : TLS 1.2 ou plus récent; RPV avec AES-256; recommandé : TLS 1.3 ou RPV avec AES-256] et protégé par l'AMF. Les sessions doivent être surveillées. Les utilisateurs ne doivent pas acheminer le trafic par des réseaux ou appareils non approuvés. Les permissions doivent être révisées [annuellement].</w:t>
      </w:r>
    </w:p>
    <w:p>
      <w:r>
        <w:rPr>
          <w:rFonts w:ascii="Arial" w:hAnsi="Arial"/>
          <w:b/>
          <w:color w:val="2E5FA3"/>
          <w:sz w:val="21"/>
        </w:rPr>
        <w:t>PS-8  Accès à distance par des réseaux externes</w:t>
      </w:r>
    </w:p>
    <w:p>
      <w:r>
        <w:rPr>
          <w:rFonts w:ascii="Arial" w:hAnsi="Arial"/>
          <w:sz w:val="21"/>
        </w:rPr>
        <w:t>Les utilisateurs se connectant depuis des réseaux externes ou publics (Wi-Fi d'hôtel, café) doivent utiliser le RPV approuvé ou une passerelle sécurisée pour tout le trafic vers les systèmes de l'organisation. Le tunnel partagé est interdit sur les systèmes traitant des CUI, sauf approbation explicite.</w:t>
      </w:r>
    </w:p>
    <w:p>
      <w:r>
        <w:rPr>
          <w:rFonts w:ascii="Arial" w:hAnsi="Arial"/>
          <w:b/>
          <w:color w:val="2E5FA3"/>
          <w:sz w:val="21"/>
        </w:rPr>
        <w:t>PS-9  Verrouillage de session</w:t>
      </w:r>
    </w:p>
    <w:p>
      <w:r>
        <w:rPr>
          <w:rFonts w:ascii="Arial" w:hAnsi="Arial"/>
          <w:sz w:val="21"/>
        </w:rPr>
        <w:t>Les systèmes doivent verrouiller automatiquement l'écran après au plus [défini par l'organisation : 15 minutes; recommandé : 15 minutes] d'inactivité. Une réauthentification doit être exigée. Les utilisateurs doivent verrouiller manuellement leur session lorsqu'ils laissent leur poste sans surveillance.</w:t>
      </w:r>
    </w:p>
    <w:p>
      <w:r>
        <w:rPr>
          <w:rFonts w:ascii="Arial" w:hAnsi="Arial"/>
          <w:b/>
          <w:color w:val="2E5FA3"/>
          <w:sz w:val="21"/>
        </w:rPr>
        <w:t>PS-10  Fin de session</w:t>
      </w:r>
    </w:p>
    <w:p>
      <w:r>
        <w:rPr>
          <w:rFonts w:ascii="Arial" w:hAnsi="Arial"/>
          <w:sz w:val="21"/>
        </w:rPr>
        <w:t>Les systèmes doivent mettre fin automatiquement aux sessions inactives après [défini par l'organisation : 30 minutes pour les sessions à privilèges élevés, 60 minutes pour les sessions standard; recommandé : 30 / 60 minutes]. L'utilisateur doit ensuite se réauthentifier entièrement.</w:t>
      </w:r>
    </w:p>
    <w:p>
      <w:r>
        <w:rPr>
          <w:rFonts w:ascii="Arial" w:hAnsi="Arial"/>
          <w:b/>
          <w:color w:val="2E5FA3"/>
          <w:sz w:val="21"/>
        </w:rPr>
        <w:t>PS-11  Accès sans fil</w:t>
      </w:r>
    </w:p>
    <w:p>
      <w:r>
        <w:rPr>
          <w:rFonts w:ascii="Arial" w:hAnsi="Arial"/>
          <w:sz w:val="21"/>
        </w:rPr>
        <w:t>Les connexions sans fil doivent être autorisées avant utilisation. Les réseaux sans fil transmettant des CUI doivent utiliser [défini par l'organisation : WPA3-Entreprise ou WPA2-Entreprise avec AES-CCMP; recommandé : WPA3-Entreprise]. Les réseaux invités doivent être logiquement séparés des réseaux portant des CUI. Les points d'accès non autorisés doivent être détectés et signalés immédiatement.</w:t>
      </w:r>
    </w:p>
    <w:p>
      <w:r>
        <w:rPr>
          <w:rFonts w:ascii="Arial" w:hAnsi="Arial"/>
          <w:b/>
          <w:color w:val="2E5FA3"/>
          <w:sz w:val="21"/>
        </w:rPr>
        <w:t>PS-12  Utilisation des appareils mobiles</w:t>
      </w:r>
    </w:p>
    <w:p>
      <w:r>
        <w:rPr>
          <w:rFonts w:ascii="Arial" w:hAnsi="Arial"/>
          <w:sz w:val="21"/>
        </w:rPr>
        <w:t>Les appareils mobiles (téléphones, tablettes, portables) accédant aux systèmes ou aux CUI doivent être inscrits à la [défini par l'organisation : solution GAM; recommandé : Microsoft Intune ou l'équivalent] avant utilisation. La GAM doit imposer le chiffrement, le verrouillage d'écran, l'effacement à distance et les politiques d'applications approuvées.</w:t>
      </w:r>
    </w:p>
    <w:p>
      <w:r>
        <w:rPr>
          <w:rFonts w:ascii="Arial" w:hAnsi="Arial"/>
          <w:b/>
          <w:color w:val="2E5FA3"/>
          <w:sz w:val="21"/>
        </w:rPr>
        <w:t>PS-13  Restrictions relatives aux appareils mobiles</w:t>
      </w:r>
    </w:p>
    <w:p>
      <w:r>
        <w:rPr>
          <w:rFonts w:ascii="Arial" w:hAnsi="Arial"/>
          <w:sz w:val="21"/>
        </w:rPr>
        <w:t>Les CUI ne doivent pas être stockés sur des appareils mobiles personnels, à moins qu'ils soient inscrits à la GAM et respectent toutes les exigences. Les appareils débridés ou rootés ne doivent jamais accéder aux systèmes ni aux CUI. Les utilisateurs doivent signaler tout appareil perdu ou volé dans les 4 heures pour permettre un effacement à distance.</w:t>
      </w:r>
    </w:p>
    <w:p>
      <w:r>
        <w:rPr>
          <w:rFonts w:ascii="Arial" w:hAnsi="Arial"/>
          <w:b/>
          <w:color w:val="2E5FA3"/>
          <w:sz w:val="21"/>
        </w:rPr>
        <w:t>PS-14  Systèmes externes</w:t>
      </w:r>
    </w:p>
    <w:p>
      <w:r>
        <w:rPr>
          <w:rFonts w:ascii="Arial" w:hAnsi="Arial"/>
          <w:sz w:val="21"/>
        </w:rPr>
        <w:t>Les utilisateurs ne doivent pas consulter, traiter, stocker ni transmettre des CUI sur des ordinateurs personnels ou tout système non explicitement autorisé dans le SSP sans approbation documentée du propriétaire de la politique. Avant qu'un système externe soit autorisé à se connecter, une entente d'utilisation et une revue de sécurité doivent être réalisées et conservées.</w:t>
      </w:r>
    </w:p>
    <w:p>
      <w:pPr>
        <w:spacing w:before="200" w:after="80"/>
      </w:pPr>
      <w:r>
        <w:rPr>
          <w:rFonts w:ascii="Arial" w:hAnsi="Arial"/>
          <w:b/>
          <w:color w:val="2E5FA3"/>
          <w:sz w:val="26"/>
        </w:rPr>
        <w:t>6.  Procédures et preuves d'audit</w:t>
      </w:r>
    </w:p>
    <w:p>
      <w:r>
        <w:rPr>
          <w:rFonts w:ascii="Arial" w:hAnsi="Arial"/>
          <w:sz w:val="21"/>
        </w:rPr>
        <w:t>6.1  Cycle de vie des comptes</w:t>
      </w:r>
    </w:p>
    <w:p>
      <w:pPr>
        <w:ind w:left="360"/>
      </w:pPr>
      <w:r>
        <w:rPr>
          <w:rFonts w:ascii="Arial" w:hAnsi="Arial"/>
          <w:sz w:val="21"/>
        </w:rPr>
        <w:t>•  Nouvelle embauche : les RH soumettent la demande d'accès aux TI dans un délai de 1 jour ouvrable.</w:t>
      </w:r>
    </w:p>
    <w:p>
      <w:pPr>
        <w:ind w:left="360"/>
      </w:pPr>
      <w:r>
        <w:rPr>
          <w:rFonts w:ascii="Arial" w:hAnsi="Arial"/>
          <w:sz w:val="21"/>
        </w:rPr>
        <w:t>•  Les TI vérifient l'approbation du gestionnaire, créent le compte au moindre privilège et le consignent à l'inventaire.</w:t>
      </w:r>
    </w:p>
    <w:p>
      <w:pPr>
        <w:ind w:left="360"/>
      </w:pPr>
      <w:r>
        <w:rPr>
          <w:rFonts w:ascii="Arial" w:hAnsi="Arial"/>
          <w:sz w:val="21"/>
        </w:rPr>
        <w:t>•  L'utilisateur suit la formation de sensibilisation avant l'accès aux CUI.</w:t>
      </w:r>
    </w:p>
    <w:p>
      <w:pPr>
        <w:ind w:left="360"/>
      </w:pPr>
      <w:r>
        <w:rPr>
          <w:rFonts w:ascii="Arial" w:hAnsi="Arial"/>
          <w:sz w:val="21"/>
        </w:rPr>
        <w:t>•  Changement de rôle : le gestionnaire soumet une demande mise à jour; les TI ajustent les droits dans les [5 jours ouvrables].</w:t>
      </w:r>
    </w:p>
    <w:p>
      <w:pPr>
        <w:ind w:left="360"/>
      </w:pPr>
      <w:r>
        <w:rPr>
          <w:rFonts w:ascii="Arial" w:hAnsi="Arial"/>
          <w:sz w:val="21"/>
        </w:rPr>
        <w:t>•  Départ : les RH avisent les TI le jour même; les TI désactivent le compte, révoquent l'accès à distance et retirent l'accès aux CUI dans les [1 jour ouvrable].</w:t>
      </w:r>
    </w:p>
    <w:p>
      <w:r>
        <w:rPr>
          <w:rFonts w:ascii="Arial" w:hAnsi="Arial"/>
          <w:b/>
          <w:sz w:val="21"/>
        </w:rPr>
        <w:t xml:space="preserve">Preuves d'audit : </w:t>
      </w:r>
      <w:r>
        <w:rPr>
          <w:rFonts w:ascii="Arial" w:hAnsi="Arial"/>
          <w:sz w:val="21"/>
        </w:rPr>
        <w:t>Formulaires de demande d'accès ou billets remplis; inventaire des comptes (daté); listes de vérification de départ; relevés d'achèvement de formation.</w:t>
      </w:r>
    </w:p>
    <w:p>
      <w:r>
        <w:rPr>
          <w:rFonts w:ascii="Arial" w:hAnsi="Arial"/>
          <w:sz w:val="21"/>
        </w:rPr>
        <w:t>6.2  Gestion des comptes privilégiés</w:t>
      </w:r>
    </w:p>
    <w:p>
      <w:pPr>
        <w:ind w:left="360"/>
      </w:pPr>
      <w:r>
        <w:rPr>
          <w:rFonts w:ascii="Arial" w:hAnsi="Arial"/>
          <w:sz w:val="21"/>
        </w:rPr>
        <w:t>•  Les comptes privilégiés sont répertoriés et révisés [trimestriellement].</w:t>
      </w:r>
    </w:p>
    <w:p>
      <w:pPr>
        <w:ind w:left="360"/>
      </w:pPr>
      <w:r>
        <w:rPr>
          <w:rFonts w:ascii="Arial" w:hAnsi="Arial"/>
          <w:sz w:val="21"/>
        </w:rPr>
        <w:t>•  Les actions d'administration sont journalisées dans un dépôt résistant à l'altération.</w:t>
      </w:r>
    </w:p>
    <w:p>
      <w:pPr>
        <w:ind w:left="360"/>
      </w:pPr>
      <w:r>
        <w:rPr>
          <w:rFonts w:ascii="Arial" w:hAnsi="Arial"/>
          <w:sz w:val="21"/>
        </w:rPr>
        <w:t>•  Les identifiants privilégiés partagés utilisent un coffre-fort; les mots de passe sont changés après chaque utilisation.</w:t>
      </w:r>
    </w:p>
    <w:p>
      <w:r>
        <w:rPr>
          <w:rFonts w:ascii="Arial" w:hAnsi="Arial"/>
          <w:b/>
          <w:sz w:val="21"/>
        </w:rPr>
        <w:t xml:space="preserve">Preuves d'audit : </w:t>
      </w:r>
      <w:r>
        <w:rPr>
          <w:rFonts w:ascii="Arial" w:hAnsi="Arial"/>
          <w:sz w:val="21"/>
        </w:rPr>
        <w:t>Liste des comptes privilégiés; approbations des revues trimestrielles; journaux d'accès au coffre-fort.</w:t>
      </w:r>
    </w:p>
    <w:p>
      <w:r>
        <w:rPr>
          <w:rFonts w:ascii="Arial" w:hAnsi="Arial"/>
          <w:sz w:val="21"/>
        </w:rPr>
        <w:t>6.3  Revues des accès</w:t>
      </w:r>
    </w:p>
    <w:p>
      <w:pPr>
        <w:ind w:left="360"/>
      </w:pPr>
      <w:r>
        <w:rPr>
          <w:rFonts w:ascii="Arial" w:hAnsi="Arial"/>
          <w:sz w:val="21"/>
        </w:rPr>
        <w:t>•  Le gestionnaire TI effectue une revue formelle [trimestrielle] pour tous les systèmes contenant des CUI.</w:t>
      </w:r>
    </w:p>
    <w:p>
      <w:pPr>
        <w:ind w:left="360"/>
      </w:pPr>
      <w:r>
        <w:rPr>
          <w:rFonts w:ascii="Arial" w:hAnsi="Arial"/>
          <w:sz w:val="21"/>
        </w:rPr>
        <w:t>•  Les réviseurs attestent que chaque accès est toujours nécessaire et correctement délimité.</w:t>
      </w:r>
    </w:p>
    <w:p>
      <w:pPr>
        <w:ind w:left="360"/>
      </w:pPr>
      <w:r>
        <w:rPr>
          <w:rFonts w:ascii="Arial" w:hAnsi="Arial"/>
          <w:sz w:val="21"/>
        </w:rPr>
        <w:t>•  Les accès excédentaires sont retirés dans les [5 jours ouvrables].</w:t>
      </w:r>
    </w:p>
    <w:p>
      <w:r>
        <w:rPr>
          <w:rFonts w:ascii="Arial" w:hAnsi="Arial"/>
          <w:b/>
          <w:sz w:val="21"/>
        </w:rPr>
        <w:t xml:space="preserve">Preuves d'audit : </w:t>
      </w:r>
      <w:r>
        <w:rPr>
          <w:rFonts w:ascii="Arial" w:hAnsi="Arial"/>
          <w:sz w:val="21"/>
        </w:rPr>
        <w:t>Rapports de revue datés et signés par le gestionnaire TI; preuves des mesures correctives.</w:t>
      </w:r>
    </w:p>
    <w:p>
      <w:r>
        <w:rPr>
          <w:rFonts w:ascii="Arial" w:hAnsi="Arial"/>
          <w:sz w:val="21"/>
        </w:rPr>
        <w:t>6.4  Accès à distance et contrôles de session</w:t>
      </w:r>
    </w:p>
    <w:p>
      <w:pPr>
        <w:ind w:left="360"/>
      </w:pPr>
      <w:r>
        <w:rPr>
          <w:rFonts w:ascii="Arial" w:hAnsi="Arial"/>
          <w:sz w:val="21"/>
        </w:rPr>
        <w:t>•  Les configurations RPV et de passerelle sont révisées annuellement (PS-7).</w:t>
      </w:r>
    </w:p>
    <w:p>
      <w:pPr>
        <w:ind w:left="360"/>
      </w:pPr>
      <w:r>
        <w:rPr>
          <w:rFonts w:ascii="Arial" w:hAnsi="Arial"/>
          <w:sz w:val="21"/>
        </w:rPr>
        <w:t>•  Le verrouillage et la fin de session sont appliqués par GPO ou GAM et vérifiés lors des audits [trimestriels].</w:t>
      </w:r>
    </w:p>
    <w:p>
      <w:pPr>
        <w:ind w:left="360"/>
      </w:pPr>
      <w:r>
        <w:rPr>
          <w:rFonts w:ascii="Arial" w:hAnsi="Arial"/>
          <w:sz w:val="21"/>
        </w:rPr>
        <w:t>•  L'inscription à l'AMF est vérifiée pour tous les utilisateurs à distance.</w:t>
      </w:r>
    </w:p>
    <w:p>
      <w:r>
        <w:rPr>
          <w:rFonts w:ascii="Arial" w:hAnsi="Arial"/>
          <w:b/>
          <w:sz w:val="21"/>
        </w:rPr>
        <w:t xml:space="preserve">Preuves d'audit : </w:t>
      </w:r>
      <w:r>
        <w:rPr>
          <w:rFonts w:ascii="Arial" w:hAnsi="Arial"/>
          <w:sz w:val="21"/>
        </w:rPr>
        <w:t>Exportations de configuration RPV; captures GPO/GAM; rapports d'AMF; journaux d'audit de configuration.</w:t>
      </w:r>
    </w:p>
    <w:p>
      <w:r>
        <w:rPr>
          <w:rFonts w:ascii="Arial" w:hAnsi="Arial"/>
          <w:sz w:val="21"/>
        </w:rPr>
        <w:t>6.5  Sans-fil et mobile</w:t>
      </w:r>
    </w:p>
    <w:p>
      <w:pPr>
        <w:ind w:left="360"/>
      </w:pPr>
      <w:r>
        <w:rPr>
          <w:rFonts w:ascii="Arial" w:hAnsi="Arial"/>
          <w:sz w:val="21"/>
        </w:rPr>
        <w:t>•  Les configurations sans fil sont révisées [annuellement] ou après tout changement.</w:t>
      </w:r>
    </w:p>
    <w:p>
      <w:pPr>
        <w:ind w:left="360"/>
      </w:pPr>
      <w:r>
        <w:rPr>
          <w:rFonts w:ascii="Arial" w:hAnsi="Arial"/>
          <w:sz w:val="21"/>
        </w:rPr>
        <w:t>•  L'inscription à la GAM est vérifiée mensuellement; les appareils non inscrits sont bloqués.</w:t>
      </w:r>
    </w:p>
    <w:p>
      <w:pPr>
        <w:ind w:left="360"/>
      </w:pPr>
      <w:r>
        <w:rPr>
          <w:rFonts w:ascii="Arial" w:hAnsi="Arial"/>
          <w:sz w:val="21"/>
        </w:rPr>
        <w:t>•  Les appareils perdus sont signalés; l'effacement à distance est déclenché et confirmé.</w:t>
      </w:r>
    </w:p>
    <w:p>
      <w:r>
        <w:rPr>
          <w:rFonts w:ascii="Arial" w:hAnsi="Arial"/>
          <w:b/>
          <w:sz w:val="21"/>
        </w:rPr>
        <w:t xml:space="preserve">Preuves d'audit : </w:t>
      </w:r>
      <w:r>
        <w:rPr>
          <w:rFonts w:ascii="Arial" w:hAnsi="Arial"/>
          <w:sz w:val="21"/>
        </w:rPr>
        <w:t>Registres de configuration sans fil; rapports d'inscription GAM; confirmations d'effacement à distance.</w:t>
      </w:r>
    </w:p>
    <w:p>
      <w:r>
        <w:rPr>
          <w:rFonts w:ascii="Arial" w:hAnsi="Arial"/>
          <w:sz w:val="21"/>
        </w:rPr>
        <w:t>6.6  Utilisation de systèmes externes</w:t>
      </w:r>
    </w:p>
    <w:p>
      <w:pPr>
        <w:ind w:left="360"/>
      </w:pPr>
      <w:r>
        <w:rPr>
          <w:rFonts w:ascii="Arial" w:hAnsi="Arial"/>
          <w:sz w:val="21"/>
        </w:rPr>
        <w:t>•  Toute demande d'utilisation d'un système externe pour des CUI est soumise au gestionnaire TI.</w:t>
      </w:r>
    </w:p>
    <w:p>
      <w:pPr>
        <w:ind w:left="360"/>
      </w:pPr>
      <w:r>
        <w:rPr>
          <w:rFonts w:ascii="Arial" w:hAnsi="Arial"/>
          <w:sz w:val="21"/>
        </w:rPr>
        <w:t>•  Le gestionnaire TI réalise une revue de sécurité et délivre une autorisation ou un refus écrit.</w:t>
      </w:r>
    </w:p>
    <w:p>
      <w:pPr>
        <w:ind w:left="360"/>
      </w:pPr>
      <w:r>
        <w:rPr>
          <w:rFonts w:ascii="Arial" w:hAnsi="Arial"/>
          <w:sz w:val="21"/>
        </w:rPr>
        <w:t>•  Les utilisateurs signent une entente d'utilisation avant l'accès.</w:t>
      </w:r>
    </w:p>
    <w:p>
      <w:r>
        <w:rPr>
          <w:rFonts w:ascii="Arial" w:hAnsi="Arial"/>
          <w:b/>
          <w:sz w:val="21"/>
        </w:rPr>
        <w:t xml:space="preserve">Preuves d'audit : </w:t>
      </w:r>
      <w:r>
        <w:rPr>
          <w:rFonts w:ascii="Arial" w:hAnsi="Arial"/>
          <w:sz w:val="21"/>
        </w:rPr>
        <w:t>Formulaires de demande; dossiers de revue de sécurité; ententes d'utilisation signées.</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au moyen de revues de journaux, de rapports de revue des accès et d'audits de configuration, couvrant l'autorisation des comptes, le moindre privilège, l'accès à distance et les contrôles de session.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Plan de sécurité du système (SSP) — inventaire, catégories de CUI et mise en œuvre des contrôles.</w:t>
      </w:r>
    </w:p>
    <w:p>
      <w:pPr>
        <w:ind w:left="360"/>
      </w:pPr>
      <w:r>
        <w:rPr>
          <w:rFonts w:ascii="Arial" w:hAnsi="Arial"/>
          <w:sz w:val="21"/>
        </w:rPr>
        <w:t>•  Politique de réponse aux incidents — procédures lorsqu'un accès non autorisé est détecté.</w:t>
      </w:r>
    </w:p>
    <w:p>
      <w:pPr>
        <w:ind w:left="360"/>
      </w:pPr>
      <w:r>
        <w:rPr>
          <w:rFonts w:ascii="Arial" w:hAnsi="Arial"/>
          <w:sz w:val="21"/>
        </w:rPr>
        <w:t>•  Politique de gestion de la configuration — durcissement de référence complétant les contrôles de session.</w:t>
      </w:r>
    </w:p>
    <w:p>
      <w:pPr>
        <w:ind w:left="360"/>
      </w:pPr>
      <w:r>
        <w:rPr>
          <w:rFonts w:ascii="Arial" w:hAnsi="Arial"/>
          <w:sz w:val="21"/>
        </w:rPr>
        <w:t>•  Politique d'identification et d'authentification — mots de passe, AMF et gestion des identifiants.</w:t>
      </w:r>
    </w:p>
    <w:p>
      <w:pPr>
        <w:ind w:left="360"/>
      </w:pPr>
      <w:r>
        <w:rPr>
          <w:rFonts w:ascii="Arial" w:hAnsi="Arial"/>
          <w:sz w:val="21"/>
        </w:rPr>
        <w:t>•  Politique de sécurité du personnel — vérification des antécédents et procédures d'entrée/de départ.</w:t>
      </w:r>
    </w:p>
    <w:p>
      <w:pPr>
        <w:ind w:left="360"/>
      </w:pPr>
      <w:r>
        <w:rPr>
          <w:rFonts w:ascii="Arial" w:hAnsi="Arial"/>
          <w:sz w:val="21"/>
        </w:rPr>
        <w:t>•  Politique d'audit et de responsabilisation — journalisation, surveillance et conservation des journaux.</w:t>
      </w:r>
    </w:p>
    <w:p>
      <w:pPr>
        <w:spacing w:before="200" w:after="80"/>
      </w:pPr>
      <w:r>
        <w:rPr>
          <w:rFonts w:ascii="Arial" w:hAnsi="Arial"/>
          <w:b/>
          <w:color w:val="2E5FA3"/>
          <w:sz w:val="26"/>
        </w:rPr>
        <w:t>10.  Correspondance des contrôles</w:t>
      </w:r>
    </w:p>
    <w:p>
      <w:r>
        <w:rPr>
          <w:rFonts w:ascii="Arial" w:hAnsi="Arial"/>
          <w:sz w:val="21"/>
        </w:rPr>
        <w:t>Le tableau ci-dessous fait correspondre chaque contrôle requis aux énoncés de politique qui le satisfont et aux preuves qu'un auditeur recherchera. Les identifiants proviennent du NIST SP 800-171 Rev 3 (famille 03.01);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03.01.01  Gestion des comptes</w:t>
            </w:r>
          </w:p>
        </w:tc>
        <w:tc>
          <w:tcPr>
            <w:tcW w:type="dxa" w:w="3360"/>
          </w:tcPr>
          <w:p>
            <w:r/>
            <w:r>
              <w:rPr>
                <w:rFonts w:ascii="Arial" w:hAnsi="Arial"/>
                <w:b w:val="0"/>
                <w:sz w:val="20"/>
              </w:rPr>
              <w:t>PS-1, PS-2, PS-3 — accès autorisé; types de comptes; moindre privilège</w:t>
            </w:r>
          </w:p>
        </w:tc>
        <w:tc>
          <w:tcPr>
            <w:tcW w:type="dxa" w:w="3360"/>
          </w:tcPr>
          <w:p>
            <w:r/>
            <w:r>
              <w:rPr>
                <w:rFonts w:ascii="Arial" w:hAnsi="Arial"/>
                <w:b w:val="0"/>
                <w:sz w:val="20"/>
              </w:rPr>
              <w:t>Inventaire des comptes; demandes d'accès; registres d'approvisionnement</w:t>
            </w:r>
          </w:p>
        </w:tc>
      </w:tr>
      <w:tr>
        <w:tc>
          <w:tcPr>
            <w:tcW w:type="dxa" w:w="3360"/>
          </w:tcPr>
          <w:p>
            <w:r/>
            <w:r>
              <w:rPr>
                <w:rFonts w:ascii="Arial" w:hAnsi="Arial"/>
                <w:b w:val="0"/>
                <w:sz w:val="20"/>
              </w:rPr>
              <w:t>03.01.02  Application des accès</w:t>
            </w:r>
          </w:p>
        </w:tc>
        <w:tc>
          <w:tcPr>
            <w:tcW w:type="dxa" w:w="3360"/>
          </w:tcPr>
          <w:p>
            <w:r/>
            <w:r>
              <w:rPr>
                <w:rFonts w:ascii="Arial" w:hAnsi="Arial"/>
                <w:b w:val="0"/>
                <w:sz w:val="20"/>
              </w:rPr>
              <w:t>PS-2, PS-5 — application centralisée; contrôles privilégiés</w:t>
            </w:r>
          </w:p>
        </w:tc>
        <w:tc>
          <w:tcPr>
            <w:tcW w:type="dxa" w:w="3360"/>
          </w:tcPr>
          <w:p>
            <w:r/>
            <w:r>
              <w:rPr>
                <w:rFonts w:ascii="Arial" w:hAnsi="Arial"/>
                <w:b w:val="0"/>
                <w:sz w:val="20"/>
              </w:rPr>
              <w:t>Configuration d'application des accès; journaux des actions privilégiées</w:t>
            </w:r>
          </w:p>
        </w:tc>
      </w:tr>
      <w:tr>
        <w:tc>
          <w:tcPr>
            <w:tcW w:type="dxa" w:w="3360"/>
          </w:tcPr>
          <w:p>
            <w:r/>
            <w:r>
              <w:rPr>
                <w:rFonts w:ascii="Arial" w:hAnsi="Arial"/>
                <w:b w:val="0"/>
                <w:sz w:val="20"/>
              </w:rPr>
              <w:t>03.01.04  Séparation des tâches</w:t>
            </w:r>
          </w:p>
        </w:tc>
        <w:tc>
          <w:tcPr>
            <w:tcW w:type="dxa" w:w="3360"/>
          </w:tcPr>
          <w:p>
            <w:r/>
            <w:r>
              <w:rPr>
                <w:rFonts w:ascii="Arial" w:hAnsi="Arial"/>
                <w:b w:val="0"/>
                <w:sz w:val="20"/>
              </w:rPr>
              <w:t>PS-4 — séparation des tâches</w:t>
            </w:r>
          </w:p>
        </w:tc>
        <w:tc>
          <w:tcPr>
            <w:tcW w:type="dxa" w:w="3360"/>
          </w:tcPr>
          <w:p>
            <w:r/>
            <w:r>
              <w:rPr>
                <w:rFonts w:ascii="Arial" w:hAnsi="Arial"/>
                <w:b w:val="0"/>
                <w:sz w:val="20"/>
              </w:rPr>
              <w:t>Matrice des rôles illustrant la séparation des tâches</w:t>
            </w:r>
          </w:p>
        </w:tc>
      </w:tr>
      <w:tr>
        <w:tc>
          <w:tcPr>
            <w:tcW w:type="dxa" w:w="3360"/>
          </w:tcPr>
          <w:p>
            <w:r/>
            <w:r>
              <w:rPr>
                <w:rFonts w:ascii="Arial" w:hAnsi="Arial"/>
                <w:b w:val="0"/>
                <w:sz w:val="20"/>
              </w:rPr>
              <w:t>03.01.05  Moindre privilège</w:t>
            </w:r>
          </w:p>
        </w:tc>
        <w:tc>
          <w:tcPr>
            <w:tcW w:type="dxa" w:w="3360"/>
          </w:tcPr>
          <w:p>
            <w:r/>
            <w:r>
              <w:rPr>
                <w:rFonts w:ascii="Arial" w:hAnsi="Arial"/>
                <w:b w:val="0"/>
                <w:sz w:val="20"/>
              </w:rPr>
              <w:t>PS-3, PS-5 — moindre privilège; restrictions privilégiées</w:t>
            </w:r>
          </w:p>
        </w:tc>
        <w:tc>
          <w:tcPr>
            <w:tcW w:type="dxa" w:w="3360"/>
          </w:tcPr>
          <w:p>
            <w:r/>
            <w:r>
              <w:rPr>
                <w:rFonts w:ascii="Arial" w:hAnsi="Arial"/>
                <w:b w:val="0"/>
                <w:sz w:val="20"/>
              </w:rPr>
              <w:t>Liste des comptes privilégiés; rapports de revue des accès</w:t>
            </w:r>
          </w:p>
        </w:tc>
      </w:tr>
      <w:tr>
        <w:tc>
          <w:tcPr>
            <w:tcW w:type="dxa" w:w="3360"/>
          </w:tcPr>
          <w:p>
            <w:r/>
            <w:r>
              <w:rPr>
                <w:rFonts w:ascii="Arial" w:hAnsi="Arial"/>
                <w:b w:val="0"/>
                <w:sz w:val="20"/>
              </w:rPr>
              <w:t>03.01.06/07  Moindre privilège – comptes/fonctions privilégiés</w:t>
            </w:r>
          </w:p>
        </w:tc>
        <w:tc>
          <w:tcPr>
            <w:tcW w:type="dxa" w:w="3360"/>
          </w:tcPr>
          <w:p>
            <w:r/>
            <w:r>
              <w:rPr>
                <w:rFonts w:ascii="Arial" w:hAnsi="Arial"/>
                <w:b w:val="0"/>
                <w:sz w:val="20"/>
              </w:rPr>
              <w:t>PS-5 — contrôle des comptes/fonctions privilégiés</w:t>
            </w:r>
          </w:p>
        </w:tc>
        <w:tc>
          <w:tcPr>
            <w:tcW w:type="dxa" w:w="3360"/>
          </w:tcPr>
          <w:p>
            <w:r/>
            <w:r>
              <w:rPr>
                <w:rFonts w:ascii="Arial" w:hAnsi="Arial"/>
                <w:b w:val="0"/>
                <w:sz w:val="20"/>
              </w:rPr>
              <w:t>Liste des comptes privilégiés; journaux des fonctions privilégiées</w:t>
            </w:r>
          </w:p>
        </w:tc>
      </w:tr>
      <w:tr>
        <w:tc>
          <w:tcPr>
            <w:tcW w:type="dxa" w:w="3360"/>
          </w:tcPr>
          <w:p>
            <w:r/>
            <w:r>
              <w:rPr>
                <w:rFonts w:ascii="Arial" w:hAnsi="Arial"/>
                <w:b w:val="0"/>
                <w:sz w:val="20"/>
              </w:rPr>
              <w:t>03.01.08  Tentatives d'ouverture infructueuses</w:t>
            </w:r>
          </w:p>
        </w:tc>
        <w:tc>
          <w:tcPr>
            <w:tcW w:type="dxa" w:w="3360"/>
          </w:tcPr>
          <w:p>
            <w:r/>
            <w:r>
              <w:rPr>
                <w:rFonts w:ascii="Arial" w:hAnsi="Arial"/>
                <w:b w:val="0"/>
                <w:sz w:val="20"/>
              </w:rPr>
              <w:t>PS-5, PS-7 — verrouillage/limitation</w:t>
            </w:r>
          </w:p>
        </w:tc>
        <w:tc>
          <w:tcPr>
            <w:tcW w:type="dxa" w:w="3360"/>
          </w:tcPr>
          <w:p>
            <w:r/>
            <w:r>
              <w:rPr>
                <w:rFonts w:ascii="Arial" w:hAnsi="Arial"/>
                <w:b w:val="0"/>
                <w:sz w:val="20"/>
              </w:rPr>
              <w:t>Configuration de verrouillage; alertes d'échecs</w:t>
            </w:r>
          </w:p>
        </w:tc>
      </w:tr>
      <w:tr>
        <w:tc>
          <w:tcPr>
            <w:tcW w:type="dxa" w:w="3360"/>
          </w:tcPr>
          <w:p>
            <w:r/>
            <w:r>
              <w:rPr>
                <w:rFonts w:ascii="Arial" w:hAnsi="Arial"/>
                <w:b w:val="0"/>
                <w:sz w:val="20"/>
              </w:rPr>
              <w:t>03.01.10  Verrouillage de l'appareil</w:t>
            </w:r>
          </w:p>
        </w:tc>
        <w:tc>
          <w:tcPr>
            <w:tcW w:type="dxa" w:w="3360"/>
          </w:tcPr>
          <w:p>
            <w:r/>
            <w:r>
              <w:rPr>
                <w:rFonts w:ascii="Arial" w:hAnsi="Arial"/>
                <w:b w:val="0"/>
                <w:sz w:val="20"/>
              </w:rPr>
              <w:t>PS-9 — verrouillage après inactivité</w:t>
            </w:r>
          </w:p>
        </w:tc>
        <w:tc>
          <w:tcPr>
            <w:tcW w:type="dxa" w:w="3360"/>
          </w:tcPr>
          <w:p>
            <w:r/>
            <w:r>
              <w:rPr>
                <w:rFonts w:ascii="Arial" w:hAnsi="Arial"/>
                <w:b w:val="0"/>
                <w:sz w:val="20"/>
              </w:rPr>
              <w:t>Config GPO/GAM; résultats de tests de verrouillage</w:t>
            </w:r>
          </w:p>
        </w:tc>
      </w:tr>
      <w:tr>
        <w:tc>
          <w:tcPr>
            <w:tcW w:type="dxa" w:w="3360"/>
          </w:tcPr>
          <w:p>
            <w:r/>
            <w:r>
              <w:rPr>
                <w:rFonts w:ascii="Arial" w:hAnsi="Arial"/>
                <w:b w:val="0"/>
                <w:sz w:val="20"/>
              </w:rPr>
              <w:t>03.01.11  Fin de session</w:t>
            </w:r>
          </w:p>
        </w:tc>
        <w:tc>
          <w:tcPr>
            <w:tcW w:type="dxa" w:w="3360"/>
          </w:tcPr>
          <w:p>
            <w:r/>
            <w:r>
              <w:rPr>
                <w:rFonts w:ascii="Arial" w:hAnsi="Arial"/>
                <w:b w:val="0"/>
                <w:sz w:val="20"/>
              </w:rPr>
              <w:t>PS-10 — fin de session</w:t>
            </w:r>
          </w:p>
        </w:tc>
        <w:tc>
          <w:tcPr>
            <w:tcW w:type="dxa" w:w="3360"/>
          </w:tcPr>
          <w:p>
            <w:r/>
            <w:r>
              <w:rPr>
                <w:rFonts w:ascii="Arial" w:hAnsi="Arial"/>
                <w:b w:val="0"/>
                <w:sz w:val="20"/>
              </w:rPr>
              <w:t>Configuration de fin de session</w:t>
            </w:r>
          </w:p>
        </w:tc>
      </w:tr>
      <w:tr>
        <w:tc>
          <w:tcPr>
            <w:tcW w:type="dxa" w:w="3360"/>
          </w:tcPr>
          <w:p>
            <w:r/>
            <w:r>
              <w:rPr>
                <w:rFonts w:ascii="Arial" w:hAnsi="Arial"/>
                <w:b w:val="0"/>
                <w:sz w:val="20"/>
              </w:rPr>
              <w:t>03.01.12  Accès à distance</w:t>
            </w:r>
          </w:p>
        </w:tc>
        <w:tc>
          <w:tcPr>
            <w:tcW w:type="dxa" w:w="3360"/>
          </w:tcPr>
          <w:p>
            <w:r/>
            <w:r>
              <w:rPr>
                <w:rFonts w:ascii="Arial" w:hAnsi="Arial"/>
                <w:b w:val="0"/>
                <w:sz w:val="20"/>
              </w:rPr>
              <w:t>PS-7, PS-8 — contrôles d'accès à distance; AMF</w:t>
            </w:r>
          </w:p>
        </w:tc>
        <w:tc>
          <w:tcPr>
            <w:tcW w:type="dxa" w:w="3360"/>
          </w:tcPr>
          <w:p>
            <w:r/>
            <w:r>
              <w:rPr>
                <w:rFonts w:ascii="Arial" w:hAnsi="Arial"/>
                <w:b w:val="0"/>
                <w:sz w:val="20"/>
              </w:rPr>
              <w:t>Config RPV/accès à distance; journaux d'AMF</w:t>
            </w:r>
          </w:p>
        </w:tc>
      </w:tr>
      <w:tr>
        <w:tc>
          <w:tcPr>
            <w:tcW w:type="dxa" w:w="3360"/>
          </w:tcPr>
          <w:p>
            <w:r/>
            <w:r>
              <w:rPr>
                <w:rFonts w:ascii="Arial" w:hAnsi="Arial"/>
                <w:b w:val="0"/>
                <w:sz w:val="20"/>
              </w:rPr>
              <w:t>03.01.16  Accès sans fil</w:t>
            </w:r>
          </w:p>
        </w:tc>
        <w:tc>
          <w:tcPr>
            <w:tcW w:type="dxa" w:w="3360"/>
          </w:tcPr>
          <w:p>
            <w:r/>
            <w:r>
              <w:rPr>
                <w:rFonts w:ascii="Arial" w:hAnsi="Arial"/>
                <w:b w:val="0"/>
                <w:sz w:val="20"/>
              </w:rPr>
              <w:t>PS-11 — contrôles et autorisation du sans-fil</w:t>
            </w:r>
          </w:p>
        </w:tc>
        <w:tc>
          <w:tcPr>
            <w:tcW w:type="dxa" w:w="3360"/>
          </w:tcPr>
          <w:p>
            <w:r/>
            <w:r>
              <w:rPr>
                <w:rFonts w:ascii="Arial" w:hAnsi="Arial"/>
                <w:b w:val="0"/>
                <w:sz w:val="20"/>
              </w:rPr>
              <w:t>Config sans fil; registres d'authentification WPA3/entreprise</w:t>
            </w:r>
          </w:p>
        </w:tc>
      </w:tr>
      <w:tr>
        <w:tc>
          <w:tcPr>
            <w:tcW w:type="dxa" w:w="3360"/>
          </w:tcPr>
          <w:p>
            <w:r/>
            <w:r>
              <w:rPr>
                <w:rFonts w:ascii="Arial" w:hAnsi="Arial"/>
                <w:b w:val="0"/>
                <w:sz w:val="20"/>
              </w:rPr>
              <w:t>03.01.18  Contrôle d'accès des appareils mobiles</w:t>
            </w:r>
          </w:p>
        </w:tc>
        <w:tc>
          <w:tcPr>
            <w:tcW w:type="dxa" w:w="3360"/>
          </w:tcPr>
          <w:p>
            <w:r/>
            <w:r>
              <w:rPr>
                <w:rFonts w:ascii="Arial" w:hAnsi="Arial"/>
                <w:b w:val="0"/>
                <w:sz w:val="20"/>
              </w:rPr>
              <w:t>PS-12, PS-13 — politique mobile; GAM; contrôles des CUI</w:t>
            </w:r>
          </w:p>
        </w:tc>
        <w:tc>
          <w:tcPr>
            <w:tcW w:type="dxa" w:w="3360"/>
          </w:tcPr>
          <w:p>
            <w:r/>
            <w:r>
              <w:rPr>
                <w:rFonts w:ascii="Arial" w:hAnsi="Arial"/>
                <w:b w:val="0"/>
                <w:sz w:val="20"/>
              </w:rPr>
              <w:t>Rapports d'inscription GAM; accusés de politique mobile</w:t>
            </w:r>
          </w:p>
        </w:tc>
      </w:tr>
      <w:tr>
        <w:tc>
          <w:tcPr>
            <w:tcW w:type="dxa" w:w="3360"/>
          </w:tcPr>
          <w:p>
            <w:r/>
            <w:r>
              <w:rPr>
                <w:rFonts w:ascii="Arial" w:hAnsi="Arial"/>
                <w:b w:val="0"/>
                <w:sz w:val="20"/>
              </w:rPr>
              <w:t>03.01.20  Utilisation de systèmes externes</w:t>
            </w:r>
          </w:p>
        </w:tc>
        <w:tc>
          <w:tcPr>
            <w:tcW w:type="dxa" w:w="3360"/>
          </w:tcPr>
          <w:p>
            <w:r/>
            <w:r>
              <w:rPr>
                <w:rFonts w:ascii="Arial" w:hAnsi="Arial"/>
                <w:b w:val="0"/>
                <w:sz w:val="20"/>
              </w:rPr>
              <w:t>PS-14 — contrôles des systèmes externes; ententes</w:t>
            </w:r>
          </w:p>
        </w:tc>
        <w:tc>
          <w:tcPr>
            <w:tcW w:type="dxa" w:w="3360"/>
          </w:tcPr>
          <w:p>
            <w:r/>
            <w:r>
              <w:rPr>
                <w:rFonts w:ascii="Arial" w:hAnsi="Arial"/>
                <w:b w:val="0"/>
                <w:sz w:val="20"/>
              </w:rPr>
              <w:t>Approbations de connexion externe; ententes d'utilisation signées</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