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Configuration Management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Configuration Management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how [Organization Name] defines secure baseline configurations for systems that process, store, or transmit Controlled Unclassified Information (CUI), and how changes to those systems are controlled throughout their lifecycle. Unmanaged configurations and uncontrolled changes are a leading cause of security weaknesses. By enforcing hardened baselines, change control, least functionality, and an accurate component inventory, this policy reduces the attack surface and ensures systems remain in a known, secure state.</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All information systems, endpoints, servers, network devices, and cloud services that process, store, or transmit CUI.</w:t>
      </w:r>
    </w:p>
    <w:p>
      <w:pPr>
        <w:ind w:left="360"/>
      </w:pPr>
      <w:r>
        <w:rPr>
          <w:rFonts w:ascii="Arial" w:hAnsi="Arial"/>
          <w:sz w:val="21"/>
        </w:rPr>
        <w:t>•  All changes to system configurations, software, and firmware on in-scope systems.</w:t>
      </w:r>
    </w:p>
    <w:p>
      <w:pPr>
        <w:ind w:left="360"/>
      </w:pPr>
      <w:r>
        <w:rPr>
          <w:rFonts w:ascii="Arial" w:hAnsi="Arial"/>
          <w:sz w:val="21"/>
        </w:rPr>
        <w:t>•  All personnel who configure, change, or maintain in-scope systems.</w:t>
      </w:r>
    </w:p>
    <w:p>
      <w:r>
        <w:rPr>
          <w:rFonts w:ascii="Arial" w:hAnsi="Arial"/>
          <w:sz w:val="21"/>
        </w:rPr>
        <w:t>Where CUI is involved, the requirements in this policy are mandatory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Baseline Configuration: </w:t>
      </w:r>
      <w:r>
        <w:rPr>
          <w:rFonts w:ascii="Arial" w:hAnsi="Arial"/>
          <w:sz w:val="21"/>
        </w:rPr>
        <w:t>A documented, approved set of configuration settings for a system that serves as the secure starting point.</w:t>
      </w:r>
    </w:p>
    <w:p>
      <w:r>
        <w:rPr>
          <w:rFonts w:ascii="Arial" w:hAnsi="Arial"/>
          <w:b/>
          <w:sz w:val="21"/>
        </w:rPr>
        <w:t xml:space="preserve">Configuration Setting: </w:t>
      </w:r>
      <w:r>
        <w:rPr>
          <w:rFonts w:ascii="Arial" w:hAnsi="Arial"/>
          <w:sz w:val="21"/>
        </w:rPr>
        <w:t>An adjustable parameter of hardware or software (e.g., a security option, password rule, or service enabled/disabled).</w:t>
      </w:r>
    </w:p>
    <w:p>
      <w:r>
        <w:rPr>
          <w:rFonts w:ascii="Arial" w:hAnsi="Arial"/>
          <w:b/>
          <w:sz w:val="21"/>
        </w:rPr>
        <w:t xml:space="preserve">Change Control: </w:t>
      </w:r>
      <w:r>
        <w:rPr>
          <w:rFonts w:ascii="Arial" w:hAnsi="Arial"/>
          <w:sz w:val="21"/>
        </w:rPr>
        <w:t>The formal process of requesting, reviewing, approving, and recording changes to systems.</w:t>
      </w:r>
    </w:p>
    <w:p>
      <w:r>
        <w:rPr>
          <w:rFonts w:ascii="Arial" w:hAnsi="Arial"/>
          <w:b/>
          <w:sz w:val="21"/>
        </w:rPr>
        <w:t xml:space="preserve">Least Functionality: </w:t>
      </w:r>
      <w:r>
        <w:rPr>
          <w:rFonts w:ascii="Arial" w:hAnsi="Arial"/>
          <w:sz w:val="21"/>
        </w:rPr>
        <w:t>Configuring systems to provide only essential capabilities; disabling unused ports, protocols, and services.</w:t>
      </w:r>
    </w:p>
    <w:p>
      <w:r>
        <w:rPr>
          <w:rFonts w:ascii="Arial" w:hAnsi="Arial"/>
          <w:b/>
          <w:sz w:val="21"/>
        </w:rPr>
        <w:t xml:space="preserve">Allow-listing: </w:t>
      </w:r>
      <w:r>
        <w:rPr>
          <w:rFonts w:ascii="Arial" w:hAnsi="Arial"/>
          <w:sz w:val="21"/>
        </w:rPr>
        <w:t>Permitting only explicitly approved software to run; everything else is denied by default.</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approve baselines and significant changes; ensure the component inventory is maintained.</w:t>
            </w:r>
          </w:p>
        </w:tc>
      </w:tr>
      <w:tr>
        <w:tc>
          <w:tcPr>
            <w:tcW w:type="dxa" w:w="5040"/>
          </w:tcPr>
          <w:p>
            <w:r/>
            <w:r>
              <w:rPr>
                <w:rFonts w:ascii="Arial" w:hAnsi="Arial"/>
                <w:b w:val="0"/>
                <w:sz w:val="20"/>
              </w:rPr>
              <w:t>[System Administrator]</w:t>
            </w:r>
          </w:p>
        </w:tc>
        <w:tc>
          <w:tcPr>
            <w:tcW w:type="dxa" w:w="5040"/>
          </w:tcPr>
          <w:p>
            <w:r/>
            <w:r>
              <w:rPr>
                <w:rFonts w:ascii="Arial" w:hAnsi="Arial"/>
                <w:b w:val="0"/>
                <w:sz w:val="20"/>
              </w:rPr>
              <w:t>Apply and maintain baselines; implement approved changes; disable unneeded functionality; keep the inventory current.</w:t>
            </w:r>
          </w:p>
        </w:tc>
      </w:tr>
      <w:tr>
        <w:tc>
          <w:tcPr>
            <w:tcW w:type="dxa" w:w="5040"/>
          </w:tcPr>
          <w:p>
            <w:r/>
            <w:r>
              <w:rPr>
                <w:rFonts w:ascii="Arial" w:hAnsi="Arial"/>
                <w:b w:val="0"/>
                <w:sz w:val="20"/>
              </w:rPr>
              <w:t>[Change Approver / CAB]</w:t>
            </w:r>
          </w:p>
        </w:tc>
        <w:tc>
          <w:tcPr>
            <w:tcW w:type="dxa" w:w="5040"/>
          </w:tcPr>
          <w:p>
            <w:r/>
            <w:r>
              <w:rPr>
                <w:rFonts w:ascii="Arial" w:hAnsi="Arial"/>
                <w:b w:val="0"/>
                <w:sz w:val="20"/>
              </w:rPr>
              <w:t>Review and approve change requests; assess security impact before changes are deployed.</w:t>
            </w:r>
          </w:p>
        </w:tc>
      </w:tr>
      <w:tr>
        <w:tc>
          <w:tcPr>
            <w:tcW w:type="dxa" w:w="5040"/>
          </w:tcPr>
          <w:p>
            <w:r/>
            <w:r>
              <w:rPr>
                <w:rFonts w:ascii="Arial" w:hAnsi="Arial"/>
                <w:b w:val="0"/>
                <w:sz w:val="20"/>
              </w:rPr>
              <w:t>All Users</w:t>
            </w:r>
          </w:p>
        </w:tc>
        <w:tc>
          <w:tcPr>
            <w:tcW w:type="dxa" w:w="5040"/>
          </w:tcPr>
          <w:p>
            <w:r/>
            <w:r>
              <w:rPr>
                <w:rFonts w:ascii="Arial" w:hAnsi="Arial"/>
                <w:b w:val="0"/>
                <w:sz w:val="20"/>
              </w:rPr>
              <w:t>Do not make unauthorized changes or install unapproved software; report configuration issues.</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this policy; provide tooling; accept residual risk for documented exceptions.</w:t>
            </w:r>
          </w:p>
        </w:tc>
      </w:tr>
    </w:tbl>
    <w:p/>
    <w:p>
      <w:pPr>
        <w:spacing w:before="200" w:after="80"/>
      </w:pPr>
      <w:r>
        <w:rPr>
          <w:rFonts w:ascii="Arial" w:hAnsi="Arial"/>
          <w:b/>
          <w:color w:val="2E5FA3"/>
          <w:sz w:val="26"/>
        </w:rPr>
        <w:t>5.  Policy Statements</w:t>
      </w:r>
    </w:p>
    <w:p>
      <w:r>
        <w:rPr>
          <w:rFonts w:ascii="Arial" w:hAnsi="Arial"/>
          <w:b/>
          <w:color w:val="2E5FA3"/>
          <w:sz w:val="21"/>
        </w:rPr>
        <w:t>PS-1  Secure Baseline Configurations</w:t>
      </w:r>
    </w:p>
    <w:p>
      <w:r>
        <w:rPr>
          <w:rFonts w:ascii="Arial" w:hAnsi="Arial"/>
          <w:sz w:val="21"/>
        </w:rPr>
        <w:t>[Organization Name] must establish, document, and maintain secure baseline configurations for each class of system, based on recognized hardening guidance (e.g., CIS Benchmarks or vendor security baselines). Baselines must be applied to new and existing systems.</w:t>
      </w:r>
    </w:p>
    <w:p>
      <w:r>
        <w:rPr>
          <w:rFonts w:ascii="Arial" w:hAnsi="Arial"/>
          <w:b/>
          <w:color w:val="2E5FA3"/>
          <w:sz w:val="21"/>
        </w:rPr>
        <w:t>PS-2  Configuration Settings</w:t>
      </w:r>
    </w:p>
    <w:p>
      <w:r>
        <w:rPr>
          <w:rFonts w:ascii="Arial" w:hAnsi="Arial"/>
          <w:sz w:val="21"/>
        </w:rPr>
        <w:t>Mandatory security configuration settings must be defined for each system type and enforced via centralized management (e.g., GPO/MDM). Deviations from approved settings must be identified and remediated.</w:t>
      </w:r>
    </w:p>
    <w:p>
      <w:r>
        <w:rPr>
          <w:rFonts w:ascii="Arial" w:hAnsi="Arial"/>
          <w:b/>
          <w:color w:val="2E5FA3"/>
          <w:sz w:val="21"/>
        </w:rPr>
        <w:t>PS-3  Change Control</w:t>
      </w:r>
    </w:p>
    <w:p>
      <w:r>
        <w:rPr>
          <w:rFonts w:ascii="Arial" w:hAnsi="Arial"/>
          <w:sz w:val="21"/>
        </w:rPr>
        <w:t>Changes to baseline configurations must be requested, security-reviewed, approved, tested where feasible, and recorded before deployment. Emergency changes must follow an expedited process and be documented after the fact.</w:t>
      </w:r>
    </w:p>
    <w:p>
      <w:r>
        <w:rPr>
          <w:rFonts w:ascii="Arial" w:hAnsi="Arial"/>
          <w:b/>
          <w:color w:val="2E5FA3"/>
          <w:sz w:val="21"/>
        </w:rPr>
        <w:t>PS-4  Security Impact Analysis</w:t>
      </w:r>
    </w:p>
    <w:p>
      <w:r>
        <w:rPr>
          <w:rFonts w:ascii="Arial" w:hAnsi="Arial"/>
          <w:sz w:val="21"/>
        </w:rPr>
        <w:t>The security impact of proposed changes must be analyzed before approval so that changes do not weaken the security posture or introduce new risk.</w:t>
      </w:r>
    </w:p>
    <w:p>
      <w:r>
        <w:rPr>
          <w:rFonts w:ascii="Arial" w:hAnsi="Arial"/>
          <w:b/>
          <w:color w:val="2E5FA3"/>
          <w:sz w:val="21"/>
        </w:rPr>
        <w:t>PS-5  Access Restrictions for Change</w:t>
      </w:r>
    </w:p>
    <w:p>
      <w:r>
        <w:rPr>
          <w:rFonts w:ascii="Arial" w:hAnsi="Arial"/>
          <w:sz w:val="21"/>
        </w:rPr>
        <w:t>The ability to make configuration changes must be restricted to authorized administrators, logged, and reviewed. Production changes must not be made from standard user accounts.</w:t>
      </w:r>
    </w:p>
    <w:p>
      <w:r>
        <w:rPr>
          <w:rFonts w:ascii="Arial" w:hAnsi="Arial"/>
          <w:b/>
          <w:color w:val="2E5FA3"/>
          <w:sz w:val="21"/>
        </w:rPr>
        <w:t>PS-6  Least Functionality</w:t>
      </w:r>
    </w:p>
    <w:p>
      <w:r>
        <w:rPr>
          <w:rFonts w:ascii="Arial" w:hAnsi="Arial"/>
          <w:sz w:val="21"/>
        </w:rPr>
        <w:t>Systems must be configured to provide only essential functions. Unused ports, protocols, services, and software must be disabled or removed, and the approved functionality for each system role documented.</w:t>
      </w:r>
    </w:p>
    <w:p>
      <w:r>
        <w:rPr>
          <w:rFonts w:ascii="Arial" w:hAnsi="Arial"/>
          <w:b/>
          <w:color w:val="2E5FA3"/>
          <w:sz w:val="21"/>
        </w:rPr>
        <w:t>PS-7  Authorized Software (Allow-listing)</w:t>
      </w:r>
    </w:p>
    <w:p>
      <w:r>
        <w:rPr>
          <w:rFonts w:ascii="Arial" w:hAnsi="Arial"/>
          <w:sz w:val="21"/>
        </w:rPr>
        <w:t>Where feasible, software execution must be deny-by-default with only approved applications allowed, prioritizing CUI and high-value systems. A list of approved software must be maintained.</w:t>
      </w:r>
    </w:p>
    <w:p>
      <w:r>
        <w:rPr>
          <w:rFonts w:ascii="Arial" w:hAnsi="Arial"/>
          <w:b/>
          <w:color w:val="2E5FA3"/>
          <w:sz w:val="21"/>
        </w:rPr>
        <w:t>PS-8  System Component Inventory</w:t>
      </w:r>
    </w:p>
    <w:p>
      <w:r>
        <w:rPr>
          <w:rFonts w:ascii="Arial" w:hAnsi="Arial"/>
          <w:sz w:val="21"/>
        </w:rPr>
        <w:t>An accurate, current inventory of system components (hardware, software, firmware) must be maintained, including where CUI is stored or processed, to support patching, change control, and incident response.</w:t>
      </w:r>
    </w:p>
    <w:p>
      <w:r>
        <w:rPr>
          <w:rFonts w:ascii="Arial" w:hAnsi="Arial"/>
          <w:b/>
          <w:color w:val="2E5FA3"/>
          <w:sz w:val="21"/>
        </w:rPr>
        <w:t>PS-9  Configuration Monitoring &amp; Drift</w:t>
      </w:r>
    </w:p>
    <w:p>
      <w:r>
        <w:rPr>
          <w:rFonts w:ascii="Arial" w:hAnsi="Arial"/>
          <w:sz w:val="21"/>
        </w:rPr>
        <w:t>Systems must be monitored for unauthorized changes and configuration drift from the approved baseline; deviations must be investigated and corrected.</w:t>
      </w:r>
    </w:p>
    <w:p>
      <w:pPr>
        <w:spacing w:before="200" w:after="80"/>
      </w:pPr>
      <w:r>
        <w:rPr>
          <w:rFonts w:ascii="Arial" w:hAnsi="Arial"/>
          <w:b/>
          <w:color w:val="2E5FA3"/>
          <w:sz w:val="26"/>
        </w:rPr>
        <w:t>6.  Procedures &amp; Audit Evidence</w:t>
      </w:r>
    </w:p>
    <w:p>
      <w:r>
        <w:rPr>
          <w:rFonts w:ascii="Arial" w:hAnsi="Arial"/>
          <w:sz w:val="21"/>
        </w:rPr>
        <w:t>6.1  Baseline &amp; Hardening</w:t>
      </w:r>
    </w:p>
    <w:p>
      <w:pPr>
        <w:ind w:left="360"/>
      </w:pPr>
      <w:r>
        <w:rPr>
          <w:rFonts w:ascii="Arial" w:hAnsi="Arial"/>
          <w:sz w:val="21"/>
        </w:rPr>
        <w:t>•  Define baselines from CIS/vendor guidance; deploy via GPO/MDM.</w:t>
      </w:r>
    </w:p>
    <w:p>
      <w:pPr>
        <w:ind w:left="360"/>
      </w:pPr>
      <w:r>
        <w:rPr>
          <w:rFonts w:ascii="Arial" w:hAnsi="Arial"/>
          <w:sz w:val="21"/>
        </w:rPr>
        <w:t>•  Scan or audit systems for compliance with the baseline on a schedule.</w:t>
      </w:r>
    </w:p>
    <w:p>
      <w:pPr>
        <w:ind w:left="360"/>
      </w:pPr>
      <w:r>
        <w:rPr>
          <w:rFonts w:ascii="Arial" w:hAnsi="Arial"/>
          <w:sz w:val="21"/>
        </w:rPr>
        <w:t>•  Remediate drift within a risk-based timeframe.</w:t>
      </w:r>
    </w:p>
    <w:p>
      <w:r>
        <w:rPr>
          <w:rFonts w:ascii="Arial" w:hAnsi="Arial"/>
          <w:b/>
          <w:sz w:val="21"/>
        </w:rPr>
        <w:t xml:space="preserve">Audit evidence: </w:t>
      </w:r>
      <w:r>
        <w:rPr>
          <w:rFonts w:ascii="Arial" w:hAnsi="Arial"/>
          <w:sz w:val="21"/>
        </w:rPr>
        <w:t>Baseline documents; GPO/MDM exports; configuration-compliance scan reports; remediation records.</w:t>
      </w:r>
    </w:p>
    <w:p>
      <w:r>
        <w:rPr>
          <w:rFonts w:ascii="Arial" w:hAnsi="Arial"/>
          <w:sz w:val="21"/>
        </w:rPr>
        <w:t>6.2  Change Control</w:t>
      </w:r>
    </w:p>
    <w:p>
      <w:pPr>
        <w:ind w:left="360"/>
      </w:pPr>
      <w:r>
        <w:rPr>
          <w:rFonts w:ascii="Arial" w:hAnsi="Arial"/>
          <w:sz w:val="21"/>
        </w:rPr>
        <w:t>•  Submit change requests with security impact; obtain approval; test and deploy.</w:t>
      </w:r>
    </w:p>
    <w:p>
      <w:pPr>
        <w:ind w:left="360"/>
      </w:pPr>
      <w:r>
        <w:rPr>
          <w:rFonts w:ascii="Arial" w:hAnsi="Arial"/>
          <w:sz w:val="21"/>
        </w:rPr>
        <w:t>•  Record what changed, when, by whom, and the approval.</w:t>
      </w:r>
    </w:p>
    <w:p>
      <w:r>
        <w:rPr>
          <w:rFonts w:ascii="Arial" w:hAnsi="Arial"/>
          <w:b/>
          <w:sz w:val="21"/>
        </w:rPr>
        <w:t xml:space="preserve">Audit evidence: </w:t>
      </w:r>
      <w:r>
        <w:rPr>
          <w:rFonts w:ascii="Arial" w:hAnsi="Arial"/>
          <w:sz w:val="21"/>
        </w:rPr>
        <w:t>Change request/approval records (CAB minutes or tickets); change log; rollback plans.</w:t>
      </w:r>
    </w:p>
    <w:p>
      <w:r>
        <w:rPr>
          <w:rFonts w:ascii="Arial" w:hAnsi="Arial"/>
          <w:sz w:val="21"/>
        </w:rPr>
        <w:t>6.3  Inventory &amp; Least Functionality</w:t>
      </w:r>
    </w:p>
    <w:p>
      <w:pPr>
        <w:ind w:left="360"/>
      </w:pPr>
      <w:r>
        <w:rPr>
          <w:rFonts w:ascii="Arial" w:hAnsi="Arial"/>
          <w:sz w:val="21"/>
        </w:rPr>
        <w:t>•  Maintain the component inventory and update on add/move/change.</w:t>
      </w:r>
    </w:p>
    <w:p>
      <w:pPr>
        <w:ind w:left="360"/>
      </w:pPr>
      <w:r>
        <w:rPr>
          <w:rFonts w:ascii="Arial" w:hAnsi="Arial"/>
          <w:sz w:val="21"/>
        </w:rPr>
        <w:t>•  Disable unused services/ports; maintain the approved-software list and allow-listing where feasible.</w:t>
      </w:r>
    </w:p>
    <w:p>
      <w:r>
        <w:rPr>
          <w:rFonts w:ascii="Arial" w:hAnsi="Arial"/>
          <w:b/>
          <w:sz w:val="21"/>
        </w:rPr>
        <w:t xml:space="preserve">Audit evidence: </w:t>
      </w:r>
      <w:r>
        <w:rPr>
          <w:rFonts w:ascii="Arial" w:hAnsi="Arial"/>
          <w:sz w:val="21"/>
        </w:rPr>
        <w:t>Component inventory (dated); approved-software list; allow-listing configuration; port/service hardening evidence.</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baselines are applied, changes follow change control, the component inventory is current, and unneeded functionality is disabled.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System Security Plan (SSP) — system inventory and control implementation.</w:t>
      </w:r>
    </w:p>
    <w:p>
      <w:pPr>
        <w:ind w:left="360"/>
      </w:pPr>
      <w:r>
        <w:rPr>
          <w:rFonts w:ascii="Arial" w:hAnsi="Arial"/>
          <w:sz w:val="21"/>
        </w:rPr>
        <w:t>•  Access Control Policy — restricting who may make changes.</w:t>
      </w:r>
    </w:p>
    <w:p>
      <w:pPr>
        <w:ind w:left="360"/>
      </w:pPr>
      <w:r>
        <w:rPr>
          <w:rFonts w:ascii="Arial" w:hAnsi="Arial"/>
          <w:sz w:val="21"/>
        </w:rPr>
        <w:t>•  System &amp; Information Integrity Policy — flaw remediation and monitoring that depend on accurate baselines.</w:t>
      </w:r>
    </w:p>
    <w:p>
      <w:pPr>
        <w:ind w:left="360"/>
      </w:pPr>
      <w:r>
        <w:rPr>
          <w:rFonts w:ascii="Arial" w:hAnsi="Arial"/>
          <w:sz w:val="21"/>
        </w:rPr>
        <w:t>•  Risk Assessment Policy — impact analysis informing change decisions.</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03.04);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03.04.01  Baseline Configuration</w:t>
            </w:r>
          </w:p>
        </w:tc>
        <w:tc>
          <w:tcPr>
            <w:tcW w:type="dxa" w:w="3360"/>
          </w:tcPr>
          <w:p>
            <w:r/>
            <w:r>
              <w:rPr>
                <w:rFonts w:ascii="Arial" w:hAnsi="Arial"/>
                <w:b w:val="0"/>
                <w:sz w:val="20"/>
              </w:rPr>
              <w:t>PS-1 — secure baselines</w:t>
            </w:r>
          </w:p>
        </w:tc>
        <w:tc>
          <w:tcPr>
            <w:tcW w:type="dxa" w:w="3360"/>
          </w:tcPr>
          <w:p>
            <w:r/>
            <w:r>
              <w:rPr>
                <w:rFonts w:ascii="Arial" w:hAnsi="Arial"/>
                <w:b w:val="0"/>
                <w:sz w:val="20"/>
              </w:rPr>
              <w:t>Baseline documents; deployment evidence</w:t>
            </w:r>
          </w:p>
        </w:tc>
      </w:tr>
      <w:tr>
        <w:tc>
          <w:tcPr>
            <w:tcW w:type="dxa" w:w="3360"/>
          </w:tcPr>
          <w:p>
            <w:r/>
            <w:r>
              <w:rPr>
                <w:rFonts w:ascii="Arial" w:hAnsi="Arial"/>
                <w:b w:val="0"/>
                <w:sz w:val="20"/>
              </w:rPr>
              <w:t>03.04.02  Configuration Settings</w:t>
            </w:r>
          </w:p>
        </w:tc>
        <w:tc>
          <w:tcPr>
            <w:tcW w:type="dxa" w:w="3360"/>
          </w:tcPr>
          <w:p>
            <w:r/>
            <w:r>
              <w:rPr>
                <w:rFonts w:ascii="Arial" w:hAnsi="Arial"/>
                <w:b w:val="0"/>
                <w:sz w:val="20"/>
              </w:rPr>
              <w:t>PS-2 — enforced settings</w:t>
            </w:r>
          </w:p>
        </w:tc>
        <w:tc>
          <w:tcPr>
            <w:tcW w:type="dxa" w:w="3360"/>
          </w:tcPr>
          <w:p>
            <w:r/>
            <w:r>
              <w:rPr>
                <w:rFonts w:ascii="Arial" w:hAnsi="Arial"/>
                <w:b w:val="0"/>
                <w:sz w:val="20"/>
              </w:rPr>
              <w:t>GPO/MDM exports; compliance scans</w:t>
            </w:r>
          </w:p>
        </w:tc>
      </w:tr>
      <w:tr>
        <w:tc>
          <w:tcPr>
            <w:tcW w:type="dxa" w:w="3360"/>
          </w:tcPr>
          <w:p>
            <w:r/>
            <w:r>
              <w:rPr>
                <w:rFonts w:ascii="Arial" w:hAnsi="Arial"/>
                <w:b w:val="0"/>
                <w:sz w:val="20"/>
              </w:rPr>
              <w:t>03.04.03  Configuration Change Control</w:t>
            </w:r>
          </w:p>
        </w:tc>
        <w:tc>
          <w:tcPr>
            <w:tcW w:type="dxa" w:w="3360"/>
          </w:tcPr>
          <w:p>
            <w:r/>
            <w:r>
              <w:rPr>
                <w:rFonts w:ascii="Arial" w:hAnsi="Arial"/>
                <w:b w:val="0"/>
                <w:sz w:val="20"/>
              </w:rPr>
              <w:t>PS-3 — change control</w:t>
            </w:r>
          </w:p>
        </w:tc>
        <w:tc>
          <w:tcPr>
            <w:tcW w:type="dxa" w:w="3360"/>
          </w:tcPr>
          <w:p>
            <w:r/>
            <w:r>
              <w:rPr>
                <w:rFonts w:ascii="Arial" w:hAnsi="Arial"/>
                <w:b w:val="0"/>
                <w:sz w:val="20"/>
              </w:rPr>
              <w:t>Change requests/approvals; change log</w:t>
            </w:r>
          </w:p>
        </w:tc>
      </w:tr>
      <w:tr>
        <w:tc>
          <w:tcPr>
            <w:tcW w:type="dxa" w:w="3360"/>
          </w:tcPr>
          <w:p>
            <w:r/>
            <w:r>
              <w:rPr>
                <w:rFonts w:ascii="Arial" w:hAnsi="Arial"/>
                <w:b w:val="0"/>
                <w:sz w:val="20"/>
              </w:rPr>
              <w:t>03.04.04  Impact Analyses</w:t>
            </w:r>
          </w:p>
        </w:tc>
        <w:tc>
          <w:tcPr>
            <w:tcW w:type="dxa" w:w="3360"/>
          </w:tcPr>
          <w:p>
            <w:r/>
            <w:r>
              <w:rPr>
                <w:rFonts w:ascii="Arial" w:hAnsi="Arial"/>
                <w:b w:val="0"/>
                <w:sz w:val="20"/>
              </w:rPr>
              <w:t>PS-4 — security impact analysis</w:t>
            </w:r>
          </w:p>
        </w:tc>
        <w:tc>
          <w:tcPr>
            <w:tcW w:type="dxa" w:w="3360"/>
          </w:tcPr>
          <w:p>
            <w:r/>
            <w:r>
              <w:rPr>
                <w:rFonts w:ascii="Arial" w:hAnsi="Arial"/>
                <w:b w:val="0"/>
                <w:sz w:val="20"/>
              </w:rPr>
              <w:t>Impact analysis records in change tickets</w:t>
            </w:r>
          </w:p>
        </w:tc>
      </w:tr>
      <w:tr>
        <w:tc>
          <w:tcPr>
            <w:tcW w:type="dxa" w:w="3360"/>
          </w:tcPr>
          <w:p>
            <w:r/>
            <w:r>
              <w:rPr>
                <w:rFonts w:ascii="Arial" w:hAnsi="Arial"/>
                <w:b w:val="0"/>
                <w:sz w:val="20"/>
              </w:rPr>
              <w:t>03.04.05  Access Restrictions for Change</w:t>
            </w:r>
          </w:p>
        </w:tc>
        <w:tc>
          <w:tcPr>
            <w:tcW w:type="dxa" w:w="3360"/>
          </w:tcPr>
          <w:p>
            <w:r/>
            <w:r>
              <w:rPr>
                <w:rFonts w:ascii="Arial" w:hAnsi="Arial"/>
                <w:b w:val="0"/>
                <w:sz w:val="20"/>
              </w:rPr>
              <w:t>PS-5 — restricted, logged change access</w:t>
            </w:r>
          </w:p>
        </w:tc>
        <w:tc>
          <w:tcPr>
            <w:tcW w:type="dxa" w:w="3360"/>
          </w:tcPr>
          <w:p>
            <w:r/>
            <w:r>
              <w:rPr>
                <w:rFonts w:ascii="Arial" w:hAnsi="Arial"/>
                <w:b w:val="0"/>
                <w:sz w:val="20"/>
              </w:rPr>
              <w:t>Admin access controls; change logs</w:t>
            </w:r>
          </w:p>
        </w:tc>
      </w:tr>
      <w:tr>
        <w:tc>
          <w:tcPr>
            <w:tcW w:type="dxa" w:w="3360"/>
          </w:tcPr>
          <w:p>
            <w:r/>
            <w:r>
              <w:rPr>
                <w:rFonts w:ascii="Arial" w:hAnsi="Arial"/>
                <w:b w:val="0"/>
                <w:sz w:val="20"/>
              </w:rPr>
              <w:t>03.04.06  Least Functionality</w:t>
            </w:r>
          </w:p>
        </w:tc>
        <w:tc>
          <w:tcPr>
            <w:tcW w:type="dxa" w:w="3360"/>
          </w:tcPr>
          <w:p>
            <w:r/>
            <w:r>
              <w:rPr>
                <w:rFonts w:ascii="Arial" w:hAnsi="Arial"/>
                <w:b w:val="0"/>
                <w:sz w:val="20"/>
              </w:rPr>
              <w:t>PS-6 — disable unused functions</w:t>
            </w:r>
          </w:p>
        </w:tc>
        <w:tc>
          <w:tcPr>
            <w:tcW w:type="dxa" w:w="3360"/>
          </w:tcPr>
          <w:p>
            <w:r/>
            <w:r>
              <w:rPr>
                <w:rFonts w:ascii="Arial" w:hAnsi="Arial"/>
                <w:b w:val="0"/>
                <w:sz w:val="20"/>
              </w:rPr>
              <w:t>Hardening evidence; approved-function list</w:t>
            </w:r>
          </w:p>
        </w:tc>
      </w:tr>
      <w:tr>
        <w:tc>
          <w:tcPr>
            <w:tcW w:type="dxa" w:w="3360"/>
          </w:tcPr>
          <w:p>
            <w:r/>
            <w:r>
              <w:rPr>
                <w:rFonts w:ascii="Arial" w:hAnsi="Arial"/>
                <w:b w:val="0"/>
                <w:sz w:val="20"/>
              </w:rPr>
              <w:t>03.04.08  Authorized Software – Allow by Exception</w:t>
            </w:r>
          </w:p>
        </w:tc>
        <w:tc>
          <w:tcPr>
            <w:tcW w:type="dxa" w:w="3360"/>
          </w:tcPr>
          <w:p>
            <w:r/>
            <w:r>
              <w:rPr>
                <w:rFonts w:ascii="Arial" w:hAnsi="Arial"/>
                <w:b w:val="0"/>
                <w:sz w:val="20"/>
              </w:rPr>
              <w:t>PS-7 — allow-listing</w:t>
            </w:r>
          </w:p>
        </w:tc>
        <w:tc>
          <w:tcPr>
            <w:tcW w:type="dxa" w:w="3360"/>
          </w:tcPr>
          <w:p>
            <w:r/>
            <w:r>
              <w:rPr>
                <w:rFonts w:ascii="Arial" w:hAnsi="Arial"/>
                <w:b w:val="0"/>
                <w:sz w:val="20"/>
              </w:rPr>
              <w:t>Approved-software list; allow-listing config</w:t>
            </w:r>
          </w:p>
        </w:tc>
      </w:tr>
      <w:tr>
        <w:tc>
          <w:tcPr>
            <w:tcW w:type="dxa" w:w="3360"/>
          </w:tcPr>
          <w:p>
            <w:r/>
            <w:r>
              <w:rPr>
                <w:rFonts w:ascii="Arial" w:hAnsi="Arial"/>
                <w:b w:val="0"/>
                <w:sz w:val="20"/>
              </w:rPr>
              <w:t>03.04.10  System Component Inventory</w:t>
            </w:r>
          </w:p>
        </w:tc>
        <w:tc>
          <w:tcPr>
            <w:tcW w:type="dxa" w:w="3360"/>
          </w:tcPr>
          <w:p>
            <w:r/>
            <w:r>
              <w:rPr>
                <w:rFonts w:ascii="Arial" w:hAnsi="Arial"/>
                <w:b w:val="0"/>
                <w:sz w:val="20"/>
              </w:rPr>
              <w:t>PS-8 — component inventory</w:t>
            </w:r>
          </w:p>
        </w:tc>
        <w:tc>
          <w:tcPr>
            <w:tcW w:type="dxa" w:w="3360"/>
          </w:tcPr>
          <w:p>
            <w:r/>
            <w:r>
              <w:rPr>
                <w:rFonts w:ascii="Arial" w:hAnsi="Arial"/>
                <w:b w:val="0"/>
                <w:sz w:val="20"/>
              </w:rPr>
              <w:t>Component inventory (dated)</w:t>
            </w:r>
          </w:p>
        </w:tc>
      </w:tr>
      <w:tr>
        <w:tc>
          <w:tcPr>
            <w:tcW w:type="dxa" w:w="3360"/>
          </w:tcPr>
          <w:p>
            <w:r/>
            <w:r>
              <w:rPr>
                <w:rFonts w:ascii="Arial" w:hAnsi="Arial"/>
                <w:b w:val="0"/>
                <w:sz w:val="20"/>
              </w:rPr>
              <w:t>03.04.11  Information Location</w:t>
            </w:r>
          </w:p>
        </w:tc>
        <w:tc>
          <w:tcPr>
            <w:tcW w:type="dxa" w:w="3360"/>
          </w:tcPr>
          <w:p>
            <w:r/>
            <w:r>
              <w:rPr>
                <w:rFonts w:ascii="Arial" w:hAnsi="Arial"/>
                <w:b w:val="0"/>
                <w:sz w:val="20"/>
              </w:rPr>
              <w:t>PS-8 — where CUI resides</w:t>
            </w:r>
          </w:p>
        </w:tc>
        <w:tc>
          <w:tcPr>
            <w:tcW w:type="dxa" w:w="3360"/>
          </w:tcPr>
          <w:p>
            <w:r/>
            <w:r>
              <w:rPr>
                <w:rFonts w:ascii="Arial" w:hAnsi="Arial"/>
                <w:b w:val="0"/>
                <w:sz w:val="20"/>
              </w:rPr>
              <w:t>Inventory noting CUI storage/processing locations</w:t>
            </w:r>
          </w:p>
        </w:tc>
      </w:tr>
      <w:tr>
        <w:tc>
          <w:tcPr>
            <w:tcW w:type="dxa" w:w="3360"/>
          </w:tcPr>
          <w:p>
            <w:r/>
            <w:r>
              <w:rPr>
                <w:rFonts w:ascii="Arial" w:hAnsi="Arial"/>
                <w:b w:val="0"/>
                <w:sz w:val="20"/>
              </w:rPr>
              <w:t>03.04.12  Config for High-Risk Areas</w:t>
            </w:r>
          </w:p>
        </w:tc>
        <w:tc>
          <w:tcPr>
            <w:tcW w:type="dxa" w:w="3360"/>
          </w:tcPr>
          <w:p>
            <w:r/>
            <w:r>
              <w:rPr>
                <w:rFonts w:ascii="Arial" w:hAnsi="Arial"/>
                <w:b w:val="0"/>
                <w:sz w:val="20"/>
              </w:rPr>
              <w:t>PS-1, PS-6 — hardened config for high-risk travel/areas</w:t>
            </w:r>
          </w:p>
        </w:tc>
        <w:tc>
          <w:tcPr>
            <w:tcW w:type="dxa" w:w="3360"/>
          </w:tcPr>
          <w:p>
            <w:r/>
            <w:r>
              <w:rPr>
                <w:rFonts w:ascii="Arial" w:hAnsi="Arial"/>
                <w:b w:val="0"/>
                <w:sz w:val="20"/>
              </w:rPr>
              <w:t>Hardened-device baselines for high-risk use</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