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gestion de la configuration</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gestion de la configuration</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définit des configurations de référence sécurisées pour les systèmes qui traitent, stockent ou transmettent de l'information contrôlée non classifiée (CUI), et comment les changements à ces systèmes sont contrôlés tout au long de leur cycle de vie. Les configurations non gérées et les changements non contrôlés sont une cause majeure de faiblesses. En imposant des configurations durcies, la gestion des changements, la fonctionnalité minimale et un inventaire exact des composants, cette politique réduit la surface d'attaque et maintient les systèmes dans un état connu et sécurisé.</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systèmes, postes, serveurs, équipements réseau et services infonuagiques qui traitent, stockent ou transmettent des CUI.</w:t>
      </w:r>
    </w:p>
    <w:p>
      <w:pPr>
        <w:ind w:left="360"/>
      </w:pPr>
      <w:r>
        <w:rPr>
          <w:rFonts w:ascii="Arial" w:hAnsi="Arial"/>
          <w:sz w:val="21"/>
        </w:rPr>
        <w:t>•  Tous les changements aux configurations, logiciels et micrologiciels des systèmes visés.</w:t>
      </w:r>
    </w:p>
    <w:p>
      <w:pPr>
        <w:ind w:left="360"/>
      </w:pPr>
      <w:r>
        <w:rPr>
          <w:rFonts w:ascii="Arial" w:hAnsi="Arial"/>
          <w:sz w:val="21"/>
        </w:rPr>
        <w:t>•  Tout le personnel qui configure, modifie ou maintient les systèmes visés.</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Configuration de référence: </w:t>
      </w:r>
      <w:r>
        <w:rPr>
          <w:rFonts w:ascii="Arial" w:hAnsi="Arial"/>
          <w:sz w:val="21"/>
        </w:rPr>
        <w:t>Un ensemble documenté et approuvé de paramètres servant de point de départ sécurisé d'un système.</w:t>
      </w:r>
    </w:p>
    <w:p>
      <w:r>
        <w:rPr>
          <w:rFonts w:ascii="Arial" w:hAnsi="Arial"/>
          <w:b/>
          <w:sz w:val="21"/>
        </w:rPr>
        <w:t xml:space="preserve">Paramètre de configuration: </w:t>
      </w:r>
      <w:r>
        <w:rPr>
          <w:rFonts w:ascii="Arial" w:hAnsi="Arial"/>
          <w:sz w:val="21"/>
        </w:rPr>
        <w:t>Un réglage de matériel ou de logiciel (option de sécurité, règle de mot de passe, service activé/désactivé).</w:t>
      </w:r>
    </w:p>
    <w:p>
      <w:r>
        <w:rPr>
          <w:rFonts w:ascii="Arial" w:hAnsi="Arial"/>
          <w:b/>
          <w:sz w:val="21"/>
        </w:rPr>
        <w:t xml:space="preserve">Gestion des changements: </w:t>
      </w:r>
      <w:r>
        <w:rPr>
          <w:rFonts w:ascii="Arial" w:hAnsi="Arial"/>
          <w:sz w:val="21"/>
        </w:rPr>
        <w:t>Le processus formel de demande, revue, approbation et consignation des changements.</w:t>
      </w:r>
    </w:p>
    <w:p>
      <w:r>
        <w:rPr>
          <w:rFonts w:ascii="Arial" w:hAnsi="Arial"/>
          <w:b/>
          <w:sz w:val="21"/>
        </w:rPr>
        <w:t xml:space="preserve">Fonctionnalité minimale: </w:t>
      </w:r>
      <w:r>
        <w:rPr>
          <w:rFonts w:ascii="Arial" w:hAnsi="Arial"/>
          <w:sz w:val="21"/>
        </w:rPr>
        <w:t>Configurer les systèmes pour ne fournir que les capacités essentielles; désactiver ports, protocoles et services inutilisés.</w:t>
      </w:r>
    </w:p>
    <w:p>
      <w:r>
        <w:rPr>
          <w:rFonts w:ascii="Arial" w:hAnsi="Arial"/>
          <w:b/>
          <w:sz w:val="21"/>
        </w:rPr>
        <w:t xml:space="preserve">Liste d'autorisation: </w:t>
      </w:r>
      <w:r>
        <w:rPr>
          <w:rFonts w:ascii="Arial" w:hAnsi="Arial"/>
          <w:sz w:val="21"/>
        </w:rPr>
        <w:t>Ne permettre que les logiciels explicitement approuvés; tout le reste est refusé par défaut.</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approuver les configurations de référence et les changements importants; assurer la tenue de l'inventaire.</w:t>
            </w:r>
          </w:p>
        </w:tc>
      </w:tr>
      <w:tr>
        <w:tc>
          <w:tcPr>
            <w:tcW w:type="dxa" w:w="5040"/>
          </w:tcPr>
          <w:p>
            <w:r/>
            <w:r>
              <w:rPr>
                <w:rFonts w:ascii="Arial" w:hAnsi="Arial"/>
                <w:b w:val="0"/>
                <w:sz w:val="20"/>
              </w:rPr>
              <w:t>[Administrateur système]</w:t>
            </w:r>
          </w:p>
        </w:tc>
        <w:tc>
          <w:tcPr>
            <w:tcW w:type="dxa" w:w="5040"/>
          </w:tcPr>
          <w:p>
            <w:r/>
            <w:r>
              <w:rPr>
                <w:rFonts w:ascii="Arial" w:hAnsi="Arial"/>
                <w:b w:val="0"/>
                <w:sz w:val="20"/>
              </w:rPr>
              <w:t>Appliquer et maintenir les configurations de référence; mettre en œuvre les changements approuvés; désactiver les fonctions inutiles; tenir l'inventaire à jour.</w:t>
            </w:r>
          </w:p>
        </w:tc>
      </w:tr>
      <w:tr>
        <w:tc>
          <w:tcPr>
            <w:tcW w:type="dxa" w:w="5040"/>
          </w:tcPr>
          <w:p>
            <w:r/>
            <w:r>
              <w:rPr>
                <w:rFonts w:ascii="Arial" w:hAnsi="Arial"/>
                <w:b w:val="0"/>
                <w:sz w:val="20"/>
              </w:rPr>
              <w:t>[Approbateur de changements / CAB]</w:t>
            </w:r>
          </w:p>
        </w:tc>
        <w:tc>
          <w:tcPr>
            <w:tcW w:type="dxa" w:w="5040"/>
          </w:tcPr>
          <w:p>
            <w:r/>
            <w:r>
              <w:rPr>
                <w:rFonts w:ascii="Arial" w:hAnsi="Arial"/>
                <w:b w:val="0"/>
                <w:sz w:val="20"/>
              </w:rPr>
              <w:t>Réviser et approuver les demandes de changement; évaluer l'impact de sécurité avant déploiement.</w:t>
            </w:r>
          </w:p>
        </w:tc>
      </w:tr>
      <w:tr>
        <w:tc>
          <w:tcPr>
            <w:tcW w:type="dxa" w:w="5040"/>
          </w:tcPr>
          <w:p>
            <w:r/>
            <w:r>
              <w:rPr>
                <w:rFonts w:ascii="Arial" w:hAnsi="Arial"/>
                <w:b w:val="0"/>
                <w:sz w:val="20"/>
              </w:rPr>
              <w:t>Tous les utilisateurs</w:t>
            </w:r>
          </w:p>
        </w:tc>
        <w:tc>
          <w:tcPr>
            <w:tcW w:type="dxa" w:w="5040"/>
          </w:tcPr>
          <w:p>
            <w:r/>
            <w:r>
              <w:rPr>
                <w:rFonts w:ascii="Arial" w:hAnsi="Arial"/>
                <w:b w:val="0"/>
                <w:sz w:val="20"/>
              </w:rPr>
              <w:t>Ne pas effectuer de changements non autorisés ni installer de logiciels non approuvés; signaler les problèmes.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fournir les outils;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Configurations de référence sécurisées</w:t>
      </w:r>
    </w:p>
    <w:p>
      <w:r>
        <w:rPr>
          <w:rFonts w:ascii="Arial" w:hAnsi="Arial"/>
          <w:sz w:val="21"/>
        </w:rPr>
        <w:t>[Nom de l'organisation] doit établir, documenter et maintenir des configurations de référence sécurisées pour chaque catégorie de système, fondées sur des guides de durcissement reconnus (p. ex. balises CIS ou bases de sécurité du fournisseur). Elles doivent s'appliquer aux systèmes neufs et existants.</w:t>
      </w:r>
    </w:p>
    <w:p>
      <w:r>
        <w:rPr>
          <w:rFonts w:ascii="Arial" w:hAnsi="Arial"/>
          <w:b/>
          <w:color w:val="2E5FA3"/>
          <w:sz w:val="21"/>
        </w:rPr>
        <w:t>PS-2  Paramètres de configuration</w:t>
      </w:r>
    </w:p>
    <w:p>
      <w:r>
        <w:rPr>
          <w:rFonts w:ascii="Arial" w:hAnsi="Arial"/>
          <w:sz w:val="21"/>
        </w:rPr>
        <w:t>Des paramètres de sécurité obligatoires doivent être définis par type de système et appliqués de façon centralisée (p. ex. GPO/GAM). Les écarts par rapport aux paramètres approuvés doivent être détectés et corrigés.</w:t>
      </w:r>
    </w:p>
    <w:p>
      <w:r>
        <w:rPr>
          <w:rFonts w:ascii="Arial" w:hAnsi="Arial"/>
          <w:b/>
          <w:color w:val="2E5FA3"/>
          <w:sz w:val="21"/>
        </w:rPr>
        <w:t>PS-3  Gestion des changements</w:t>
      </w:r>
    </w:p>
    <w:p>
      <w:r>
        <w:rPr>
          <w:rFonts w:ascii="Arial" w:hAnsi="Arial"/>
          <w:sz w:val="21"/>
        </w:rPr>
        <w:t>Les changements aux configurations de référence doivent être demandés, soumis à une revue de sécurité, approuvés, testés lorsque possible et consignés avant déploiement. Les changements d'urgence suivent un processus accéléré et sont documentés après coup.</w:t>
      </w:r>
    </w:p>
    <w:p>
      <w:r>
        <w:rPr>
          <w:rFonts w:ascii="Arial" w:hAnsi="Arial"/>
          <w:b/>
          <w:color w:val="2E5FA3"/>
          <w:sz w:val="21"/>
        </w:rPr>
        <w:t>PS-4  Analyse d'impact de sécurité</w:t>
      </w:r>
    </w:p>
    <w:p>
      <w:r>
        <w:rPr>
          <w:rFonts w:ascii="Arial" w:hAnsi="Arial"/>
          <w:sz w:val="21"/>
        </w:rPr>
        <w:t>L'impact de sécurité des changements proposés doit être analysé avant approbation afin qu'ils n'affaiblissent pas la posture ni n'introduisent de nouveau risque.</w:t>
      </w:r>
    </w:p>
    <w:p>
      <w:r>
        <w:rPr>
          <w:rFonts w:ascii="Arial" w:hAnsi="Arial"/>
          <w:b/>
          <w:color w:val="2E5FA3"/>
          <w:sz w:val="21"/>
        </w:rPr>
        <w:t>PS-5  Restrictions d'accès pour les changements</w:t>
      </w:r>
    </w:p>
    <w:p>
      <w:r>
        <w:rPr>
          <w:rFonts w:ascii="Arial" w:hAnsi="Arial"/>
          <w:sz w:val="21"/>
        </w:rPr>
        <w:t>La capacité d'effectuer des changements de configuration doit être restreinte aux administrateurs autorisés, journalisée et révisée. Les changements en production ne doivent pas se faire à partir de comptes standard.</w:t>
      </w:r>
    </w:p>
    <w:p>
      <w:r>
        <w:rPr>
          <w:rFonts w:ascii="Arial" w:hAnsi="Arial"/>
          <w:b/>
          <w:color w:val="2E5FA3"/>
          <w:sz w:val="21"/>
        </w:rPr>
        <w:t>PS-6  Fonctionnalité minimale</w:t>
      </w:r>
    </w:p>
    <w:p>
      <w:r>
        <w:rPr>
          <w:rFonts w:ascii="Arial" w:hAnsi="Arial"/>
          <w:sz w:val="21"/>
        </w:rPr>
        <w:t>Les systèmes doivent ne fournir que les fonctions essentielles. Les ports, protocoles, services et logiciels inutilisés doivent être désactivés ou retirés, et la fonctionnalité approuvée par rôle documentée.</w:t>
      </w:r>
    </w:p>
    <w:p>
      <w:r>
        <w:rPr>
          <w:rFonts w:ascii="Arial" w:hAnsi="Arial"/>
          <w:b/>
          <w:color w:val="2E5FA3"/>
          <w:sz w:val="21"/>
        </w:rPr>
        <w:t>PS-7  Logiciels autorisés (liste d'autorisation)</w:t>
      </w:r>
    </w:p>
    <w:p>
      <w:r>
        <w:rPr>
          <w:rFonts w:ascii="Arial" w:hAnsi="Arial"/>
          <w:sz w:val="21"/>
        </w:rPr>
        <w:t>Lorsque possible, l'exécution de logiciels doit être en refus par défaut, seules les applications approuvées étant permises, en priorisant les CUI et les systèmes à grande valeur. Une liste de logiciels approuvés doit être tenue.</w:t>
      </w:r>
    </w:p>
    <w:p>
      <w:r>
        <w:rPr>
          <w:rFonts w:ascii="Arial" w:hAnsi="Arial"/>
          <w:b/>
          <w:color w:val="2E5FA3"/>
          <w:sz w:val="21"/>
        </w:rPr>
        <w:t>PS-8  Inventaire des composants</w:t>
      </w:r>
    </w:p>
    <w:p>
      <w:r>
        <w:rPr>
          <w:rFonts w:ascii="Arial" w:hAnsi="Arial"/>
          <w:sz w:val="21"/>
        </w:rPr>
        <w:t>Un inventaire exact et à jour des composants (matériel, logiciels, micrologiciels) doit être tenu, indiquant où les CUI sont stockés ou traités, pour soutenir l'application de correctifs, la gestion des changements et la réponse aux incidents.</w:t>
      </w:r>
    </w:p>
    <w:p>
      <w:r>
        <w:rPr>
          <w:rFonts w:ascii="Arial" w:hAnsi="Arial"/>
          <w:b/>
          <w:color w:val="2E5FA3"/>
          <w:sz w:val="21"/>
        </w:rPr>
        <w:t>PS-9  Surveillance de la configuration et dérive</w:t>
      </w:r>
    </w:p>
    <w:p>
      <w:r>
        <w:rPr>
          <w:rFonts w:ascii="Arial" w:hAnsi="Arial"/>
          <w:sz w:val="21"/>
        </w:rPr>
        <w:t>Les systèmes doivent être surveillés pour les changements non autorisés et la dérive par rapport à la référence approuvée; les écarts doivent être investigués et corrigés.</w:t>
      </w:r>
    </w:p>
    <w:p>
      <w:pPr>
        <w:spacing w:before="200" w:after="80"/>
      </w:pPr>
      <w:r>
        <w:rPr>
          <w:rFonts w:ascii="Arial" w:hAnsi="Arial"/>
          <w:b/>
          <w:color w:val="2E5FA3"/>
          <w:sz w:val="26"/>
        </w:rPr>
        <w:t>6.  Procédures et preuves d'audit</w:t>
      </w:r>
    </w:p>
    <w:p>
      <w:r>
        <w:rPr>
          <w:rFonts w:ascii="Arial" w:hAnsi="Arial"/>
          <w:sz w:val="21"/>
        </w:rPr>
        <w:t>6.1  Référence et durcissement</w:t>
      </w:r>
    </w:p>
    <w:p>
      <w:pPr>
        <w:ind w:left="360"/>
      </w:pPr>
      <w:r>
        <w:rPr>
          <w:rFonts w:ascii="Arial" w:hAnsi="Arial"/>
          <w:sz w:val="21"/>
        </w:rPr>
        <w:t>•  Définir les configurations de référence (CIS/fournisseur); déployer par GPO/GAM.</w:t>
      </w:r>
    </w:p>
    <w:p>
      <w:pPr>
        <w:ind w:left="360"/>
      </w:pPr>
      <w:r>
        <w:rPr>
          <w:rFonts w:ascii="Arial" w:hAnsi="Arial"/>
          <w:sz w:val="21"/>
        </w:rPr>
        <w:t>•  Analyser ou auditer la conformité selon un calendrier.</w:t>
      </w:r>
    </w:p>
    <w:p>
      <w:pPr>
        <w:ind w:left="360"/>
      </w:pPr>
      <w:r>
        <w:rPr>
          <w:rFonts w:ascii="Arial" w:hAnsi="Arial"/>
          <w:sz w:val="21"/>
        </w:rPr>
        <w:t>•  Corriger la dérive dans un délai fondé sur le risque.</w:t>
      </w:r>
    </w:p>
    <w:p>
      <w:r>
        <w:rPr>
          <w:rFonts w:ascii="Arial" w:hAnsi="Arial"/>
          <w:b/>
          <w:sz w:val="21"/>
        </w:rPr>
        <w:t xml:space="preserve">Preuves d'audit : </w:t>
      </w:r>
      <w:r>
        <w:rPr>
          <w:rFonts w:ascii="Arial" w:hAnsi="Arial"/>
          <w:sz w:val="21"/>
        </w:rPr>
        <w:t>Documents de référence; exportations GPO/GAM; rapports de conformité; registres de correction.</w:t>
      </w:r>
    </w:p>
    <w:p>
      <w:r>
        <w:rPr>
          <w:rFonts w:ascii="Arial" w:hAnsi="Arial"/>
          <w:sz w:val="21"/>
        </w:rPr>
        <w:t>6.2  Gestion des changements</w:t>
      </w:r>
    </w:p>
    <w:p>
      <w:pPr>
        <w:ind w:left="360"/>
      </w:pPr>
      <w:r>
        <w:rPr>
          <w:rFonts w:ascii="Arial" w:hAnsi="Arial"/>
          <w:sz w:val="21"/>
        </w:rPr>
        <w:t>•  Soumettre les demandes avec impact de sécurité; obtenir l'approbation; tester et déployer.</w:t>
      </w:r>
    </w:p>
    <w:p>
      <w:pPr>
        <w:ind w:left="360"/>
      </w:pPr>
      <w:r>
        <w:rPr>
          <w:rFonts w:ascii="Arial" w:hAnsi="Arial"/>
          <w:sz w:val="21"/>
        </w:rPr>
        <w:t>•  Consigner ce qui a changé, quand, par qui et l'approbation.</w:t>
      </w:r>
    </w:p>
    <w:p>
      <w:r>
        <w:rPr>
          <w:rFonts w:ascii="Arial" w:hAnsi="Arial"/>
          <w:b/>
          <w:sz w:val="21"/>
        </w:rPr>
        <w:t xml:space="preserve">Preuves d'audit : </w:t>
      </w:r>
      <w:r>
        <w:rPr>
          <w:rFonts w:ascii="Arial" w:hAnsi="Arial"/>
          <w:sz w:val="21"/>
        </w:rPr>
        <w:t>Demandes/approbations de changement (PV du CAB ou billets); journal des changements; plans de retour arrière.</w:t>
      </w:r>
    </w:p>
    <w:p>
      <w:r>
        <w:rPr>
          <w:rFonts w:ascii="Arial" w:hAnsi="Arial"/>
          <w:sz w:val="21"/>
        </w:rPr>
        <w:t>6.3  Inventaire et fonctionnalité minimale</w:t>
      </w:r>
    </w:p>
    <w:p>
      <w:pPr>
        <w:ind w:left="360"/>
      </w:pPr>
      <w:r>
        <w:rPr>
          <w:rFonts w:ascii="Arial" w:hAnsi="Arial"/>
          <w:sz w:val="21"/>
        </w:rPr>
        <w:t>•  Tenir l'inventaire et le mettre à jour lors d'ajout/déplacement/changement.</w:t>
      </w:r>
    </w:p>
    <w:p>
      <w:pPr>
        <w:ind w:left="360"/>
      </w:pPr>
      <w:r>
        <w:rPr>
          <w:rFonts w:ascii="Arial" w:hAnsi="Arial"/>
          <w:sz w:val="21"/>
        </w:rPr>
        <w:t>•  Désactiver les services/ports inutiles; tenir la liste de logiciels approuvés et la liste d'autorisation lorsque possible.</w:t>
      </w:r>
    </w:p>
    <w:p>
      <w:r>
        <w:rPr>
          <w:rFonts w:ascii="Arial" w:hAnsi="Arial"/>
          <w:b/>
          <w:sz w:val="21"/>
        </w:rPr>
        <w:t xml:space="preserve">Preuves d'audit : </w:t>
      </w:r>
      <w:r>
        <w:rPr>
          <w:rFonts w:ascii="Arial" w:hAnsi="Arial"/>
          <w:sz w:val="21"/>
        </w:rPr>
        <w:t>Inventaire des composants (daté); liste de logiciels approuvés; configuration de la liste d'autorisation; preuves de durcissement des ports/services.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configurations de référence sont appliquées, que les changements suivent la gestion des changements, que l'inventaire est à jour et que la fonctionnalité inutile est désactivée.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Plan de sécurité du système (SSP) — inventaire et mise en œuvre des contrôles.</w:t>
      </w:r>
    </w:p>
    <w:p>
      <w:pPr>
        <w:ind w:left="360"/>
      </w:pPr>
      <w:r>
        <w:rPr>
          <w:rFonts w:ascii="Arial" w:hAnsi="Arial"/>
          <w:sz w:val="21"/>
        </w:rPr>
        <w:t>•  Politique de contrôle d'accès — restriction de qui peut effectuer des changements.</w:t>
      </w:r>
    </w:p>
    <w:p>
      <w:pPr>
        <w:ind w:left="360"/>
      </w:pPr>
      <w:r>
        <w:rPr>
          <w:rFonts w:ascii="Arial" w:hAnsi="Arial"/>
          <w:sz w:val="21"/>
        </w:rPr>
        <w:t>•  Politique d'intégrité des systèmes et de l'information — correction des failles et surveillance fondées sur des configurations exactes.</w:t>
      </w:r>
    </w:p>
    <w:p>
      <w:pPr>
        <w:ind w:left="360"/>
      </w:pPr>
      <w:r>
        <w:rPr>
          <w:rFonts w:ascii="Arial" w:hAnsi="Arial"/>
          <w:sz w:val="21"/>
        </w:rPr>
        <w:t>•  Politique d'évaluation des risques — analyse d'impact éclairant les décisions de changement.</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03.04);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03.04.01  Configuration de référence</w:t>
            </w:r>
          </w:p>
        </w:tc>
        <w:tc>
          <w:tcPr>
            <w:tcW w:type="dxa" w:w="3360"/>
          </w:tcPr>
          <w:p>
            <w:r/>
            <w:r>
              <w:rPr>
                <w:rFonts w:ascii="Arial" w:hAnsi="Arial"/>
                <w:b w:val="0"/>
                <w:sz w:val="20"/>
              </w:rPr>
              <w:t>PS-1 — configurations de référence sécurisées</w:t>
            </w:r>
          </w:p>
        </w:tc>
        <w:tc>
          <w:tcPr>
            <w:tcW w:type="dxa" w:w="3360"/>
          </w:tcPr>
          <w:p>
            <w:r/>
            <w:r>
              <w:rPr>
                <w:rFonts w:ascii="Arial" w:hAnsi="Arial"/>
                <w:b w:val="0"/>
                <w:sz w:val="20"/>
              </w:rPr>
              <w:t>Documents de référence; preuves de déploiement</w:t>
            </w:r>
          </w:p>
        </w:tc>
      </w:tr>
      <w:tr>
        <w:tc>
          <w:tcPr>
            <w:tcW w:type="dxa" w:w="3360"/>
          </w:tcPr>
          <w:p>
            <w:r/>
            <w:r>
              <w:rPr>
                <w:rFonts w:ascii="Arial" w:hAnsi="Arial"/>
                <w:b w:val="0"/>
                <w:sz w:val="20"/>
              </w:rPr>
              <w:t>03.04.02  Paramètres de configuration</w:t>
            </w:r>
          </w:p>
        </w:tc>
        <w:tc>
          <w:tcPr>
            <w:tcW w:type="dxa" w:w="3360"/>
          </w:tcPr>
          <w:p>
            <w:r/>
            <w:r>
              <w:rPr>
                <w:rFonts w:ascii="Arial" w:hAnsi="Arial"/>
                <w:b w:val="0"/>
                <w:sz w:val="20"/>
              </w:rPr>
              <w:t>PS-2 — paramètres appliqués</w:t>
            </w:r>
          </w:p>
        </w:tc>
        <w:tc>
          <w:tcPr>
            <w:tcW w:type="dxa" w:w="3360"/>
          </w:tcPr>
          <w:p>
            <w:r/>
            <w:r>
              <w:rPr>
                <w:rFonts w:ascii="Arial" w:hAnsi="Arial"/>
                <w:b w:val="0"/>
                <w:sz w:val="20"/>
              </w:rPr>
              <w:t>Exportations GPO/GAM; analyses de conformité</w:t>
            </w:r>
          </w:p>
        </w:tc>
      </w:tr>
      <w:tr>
        <w:tc>
          <w:tcPr>
            <w:tcW w:type="dxa" w:w="3360"/>
          </w:tcPr>
          <w:p>
            <w:r/>
            <w:r>
              <w:rPr>
                <w:rFonts w:ascii="Arial" w:hAnsi="Arial"/>
                <w:b w:val="0"/>
                <w:sz w:val="20"/>
              </w:rPr>
              <w:t>03.04.03  Contrôle des changements de configuration</w:t>
            </w:r>
          </w:p>
        </w:tc>
        <w:tc>
          <w:tcPr>
            <w:tcW w:type="dxa" w:w="3360"/>
          </w:tcPr>
          <w:p>
            <w:r/>
            <w:r>
              <w:rPr>
                <w:rFonts w:ascii="Arial" w:hAnsi="Arial"/>
                <w:b w:val="0"/>
                <w:sz w:val="20"/>
              </w:rPr>
              <w:t>PS-3 — gestion des changements</w:t>
            </w:r>
          </w:p>
        </w:tc>
        <w:tc>
          <w:tcPr>
            <w:tcW w:type="dxa" w:w="3360"/>
          </w:tcPr>
          <w:p>
            <w:r/>
            <w:r>
              <w:rPr>
                <w:rFonts w:ascii="Arial" w:hAnsi="Arial"/>
                <w:b w:val="0"/>
                <w:sz w:val="20"/>
              </w:rPr>
              <w:t>Demandes/approbations; journal des changements</w:t>
            </w:r>
          </w:p>
        </w:tc>
      </w:tr>
      <w:tr>
        <w:tc>
          <w:tcPr>
            <w:tcW w:type="dxa" w:w="3360"/>
          </w:tcPr>
          <w:p>
            <w:r/>
            <w:r>
              <w:rPr>
                <w:rFonts w:ascii="Arial" w:hAnsi="Arial"/>
                <w:b w:val="0"/>
                <w:sz w:val="20"/>
              </w:rPr>
              <w:t>03.04.04  Analyses d'impact</w:t>
            </w:r>
          </w:p>
        </w:tc>
        <w:tc>
          <w:tcPr>
            <w:tcW w:type="dxa" w:w="3360"/>
          </w:tcPr>
          <w:p>
            <w:r/>
            <w:r>
              <w:rPr>
                <w:rFonts w:ascii="Arial" w:hAnsi="Arial"/>
                <w:b w:val="0"/>
                <w:sz w:val="20"/>
              </w:rPr>
              <w:t>PS-4 — analyse d'impact de sécurité</w:t>
            </w:r>
          </w:p>
        </w:tc>
        <w:tc>
          <w:tcPr>
            <w:tcW w:type="dxa" w:w="3360"/>
          </w:tcPr>
          <w:p>
            <w:r/>
            <w:r>
              <w:rPr>
                <w:rFonts w:ascii="Arial" w:hAnsi="Arial"/>
                <w:b w:val="0"/>
                <w:sz w:val="20"/>
              </w:rPr>
              <w:t>Analyses d'impact dans les billets de changement</w:t>
            </w:r>
          </w:p>
        </w:tc>
      </w:tr>
      <w:tr>
        <w:tc>
          <w:tcPr>
            <w:tcW w:type="dxa" w:w="3360"/>
          </w:tcPr>
          <w:p>
            <w:r/>
            <w:r>
              <w:rPr>
                <w:rFonts w:ascii="Arial" w:hAnsi="Arial"/>
                <w:b w:val="0"/>
                <w:sz w:val="20"/>
              </w:rPr>
              <w:t>03.04.05  Restrictions d'accès pour les changements</w:t>
            </w:r>
          </w:p>
        </w:tc>
        <w:tc>
          <w:tcPr>
            <w:tcW w:type="dxa" w:w="3360"/>
          </w:tcPr>
          <w:p>
            <w:r/>
            <w:r>
              <w:rPr>
                <w:rFonts w:ascii="Arial" w:hAnsi="Arial"/>
                <w:b w:val="0"/>
                <w:sz w:val="20"/>
              </w:rPr>
              <w:t>PS-5 — accès aux changements restreint et journalisé</w:t>
            </w:r>
          </w:p>
        </w:tc>
        <w:tc>
          <w:tcPr>
            <w:tcW w:type="dxa" w:w="3360"/>
          </w:tcPr>
          <w:p>
            <w:r/>
            <w:r>
              <w:rPr>
                <w:rFonts w:ascii="Arial" w:hAnsi="Arial"/>
                <w:b w:val="0"/>
                <w:sz w:val="20"/>
              </w:rPr>
              <w:t>Contrôles d'accès administrateur; journaux de changements</w:t>
            </w:r>
          </w:p>
        </w:tc>
      </w:tr>
      <w:tr>
        <w:tc>
          <w:tcPr>
            <w:tcW w:type="dxa" w:w="3360"/>
          </w:tcPr>
          <w:p>
            <w:r/>
            <w:r>
              <w:rPr>
                <w:rFonts w:ascii="Arial" w:hAnsi="Arial"/>
                <w:b w:val="0"/>
                <w:sz w:val="20"/>
              </w:rPr>
              <w:t>03.04.06  Fonctionnalité minimale</w:t>
            </w:r>
          </w:p>
        </w:tc>
        <w:tc>
          <w:tcPr>
            <w:tcW w:type="dxa" w:w="3360"/>
          </w:tcPr>
          <w:p>
            <w:r/>
            <w:r>
              <w:rPr>
                <w:rFonts w:ascii="Arial" w:hAnsi="Arial"/>
                <w:b w:val="0"/>
                <w:sz w:val="20"/>
              </w:rPr>
              <w:t>PS-6 — désactiver les fonctions inutiles</w:t>
            </w:r>
          </w:p>
        </w:tc>
        <w:tc>
          <w:tcPr>
            <w:tcW w:type="dxa" w:w="3360"/>
          </w:tcPr>
          <w:p>
            <w:r/>
            <w:r>
              <w:rPr>
                <w:rFonts w:ascii="Arial" w:hAnsi="Arial"/>
                <w:b w:val="0"/>
                <w:sz w:val="20"/>
              </w:rPr>
              <w:t>Preuves de durcissement; liste des fonctions approuvées</w:t>
            </w:r>
          </w:p>
        </w:tc>
      </w:tr>
      <w:tr>
        <w:tc>
          <w:tcPr>
            <w:tcW w:type="dxa" w:w="3360"/>
          </w:tcPr>
          <w:p>
            <w:r/>
            <w:r>
              <w:rPr>
                <w:rFonts w:ascii="Arial" w:hAnsi="Arial"/>
                <w:b w:val="0"/>
                <w:sz w:val="20"/>
              </w:rPr>
              <w:t>03.04.08  Logiciels autorisés – permis par exception</w:t>
            </w:r>
          </w:p>
        </w:tc>
        <w:tc>
          <w:tcPr>
            <w:tcW w:type="dxa" w:w="3360"/>
          </w:tcPr>
          <w:p>
            <w:r/>
            <w:r>
              <w:rPr>
                <w:rFonts w:ascii="Arial" w:hAnsi="Arial"/>
                <w:b w:val="0"/>
                <w:sz w:val="20"/>
              </w:rPr>
              <w:t>PS-7 — liste d'autorisation</w:t>
            </w:r>
          </w:p>
        </w:tc>
        <w:tc>
          <w:tcPr>
            <w:tcW w:type="dxa" w:w="3360"/>
          </w:tcPr>
          <w:p>
            <w:r/>
            <w:r>
              <w:rPr>
                <w:rFonts w:ascii="Arial" w:hAnsi="Arial"/>
                <w:b w:val="0"/>
                <w:sz w:val="20"/>
              </w:rPr>
              <w:t>Liste de logiciels approuvés; configuration</w:t>
            </w:r>
          </w:p>
        </w:tc>
      </w:tr>
      <w:tr>
        <w:tc>
          <w:tcPr>
            <w:tcW w:type="dxa" w:w="3360"/>
          </w:tcPr>
          <w:p>
            <w:r/>
            <w:r>
              <w:rPr>
                <w:rFonts w:ascii="Arial" w:hAnsi="Arial"/>
                <w:b w:val="0"/>
                <w:sz w:val="20"/>
              </w:rPr>
              <w:t>03.04.10  Inventaire des composants</w:t>
            </w:r>
          </w:p>
        </w:tc>
        <w:tc>
          <w:tcPr>
            <w:tcW w:type="dxa" w:w="3360"/>
          </w:tcPr>
          <w:p>
            <w:r/>
            <w:r>
              <w:rPr>
                <w:rFonts w:ascii="Arial" w:hAnsi="Arial"/>
                <w:b w:val="0"/>
                <w:sz w:val="20"/>
              </w:rPr>
              <w:t>PS-8 — inventaire des composants</w:t>
            </w:r>
          </w:p>
        </w:tc>
        <w:tc>
          <w:tcPr>
            <w:tcW w:type="dxa" w:w="3360"/>
          </w:tcPr>
          <w:p>
            <w:r/>
            <w:r>
              <w:rPr>
                <w:rFonts w:ascii="Arial" w:hAnsi="Arial"/>
                <w:b w:val="0"/>
                <w:sz w:val="20"/>
              </w:rPr>
              <w:t>Inventaire des composants (daté)</w:t>
            </w:r>
          </w:p>
        </w:tc>
      </w:tr>
      <w:tr>
        <w:tc>
          <w:tcPr>
            <w:tcW w:type="dxa" w:w="3360"/>
          </w:tcPr>
          <w:p>
            <w:r/>
            <w:r>
              <w:rPr>
                <w:rFonts w:ascii="Arial" w:hAnsi="Arial"/>
                <w:b w:val="0"/>
                <w:sz w:val="20"/>
              </w:rPr>
              <w:t>03.04.11  Emplacement de l'information</w:t>
            </w:r>
          </w:p>
        </w:tc>
        <w:tc>
          <w:tcPr>
            <w:tcW w:type="dxa" w:w="3360"/>
          </w:tcPr>
          <w:p>
            <w:r/>
            <w:r>
              <w:rPr>
                <w:rFonts w:ascii="Arial" w:hAnsi="Arial"/>
                <w:b w:val="0"/>
                <w:sz w:val="20"/>
              </w:rPr>
              <w:t>PS-8 — où résident les CUI</w:t>
            </w:r>
          </w:p>
        </w:tc>
        <w:tc>
          <w:tcPr>
            <w:tcW w:type="dxa" w:w="3360"/>
          </w:tcPr>
          <w:p>
            <w:r/>
            <w:r>
              <w:rPr>
                <w:rFonts w:ascii="Arial" w:hAnsi="Arial"/>
                <w:b w:val="0"/>
                <w:sz w:val="20"/>
              </w:rPr>
              <w:t>Inventaire indiquant les emplacements des CUI</w:t>
            </w:r>
          </w:p>
        </w:tc>
      </w:tr>
      <w:tr>
        <w:tc>
          <w:tcPr>
            <w:tcW w:type="dxa" w:w="3360"/>
          </w:tcPr>
          <w:p>
            <w:r/>
            <w:r>
              <w:rPr>
                <w:rFonts w:ascii="Arial" w:hAnsi="Arial"/>
                <w:b w:val="0"/>
                <w:sz w:val="20"/>
              </w:rPr>
              <w:t>03.04.12  Configuration pour zones à risque élevé</w:t>
            </w:r>
          </w:p>
        </w:tc>
        <w:tc>
          <w:tcPr>
            <w:tcW w:type="dxa" w:w="3360"/>
          </w:tcPr>
          <w:p>
            <w:r/>
            <w:r>
              <w:rPr>
                <w:rFonts w:ascii="Arial" w:hAnsi="Arial"/>
                <w:b w:val="0"/>
                <w:sz w:val="20"/>
              </w:rPr>
              <w:t>PS-1, PS-6 — config durcie pour déplacements/zones à risque</w:t>
            </w:r>
          </w:p>
        </w:tc>
        <w:tc>
          <w:tcPr>
            <w:tcW w:type="dxa" w:w="3360"/>
          </w:tcPr>
          <w:p>
            <w:r/>
            <w:r>
              <w:rPr>
                <w:rFonts w:ascii="Arial" w:hAnsi="Arial"/>
                <w:b w:val="0"/>
                <w:sz w:val="20"/>
              </w:rPr>
              <w:t>Configurations durcies d'appareils à risque élevé</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