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d'identification et d'authentification</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d'identification et d'authentification</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identifie de façon unique les utilisateurs et les appareils et vérifie leur identité avant d'accorder l'accès aux systèmes qui traitent, stockent ou transmettent de l'information contrôlée non classifiée (CUI). Une identification et une authentification fortes — surtout l'authentification multifacteur — comptent parmi les défenses les plus efficaces contre la compromission de comptes. Cette politique garantit que chaque action est attribuable à une personne et que les identifiants sont gérés de façon sécurisée tout au long de leur cycle de vie.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utilisateurs (employés, sous-traitants, fournisseurs) et tous les appareils qui accèdent aux systèmes visés.</w:t>
      </w:r>
    </w:p>
    <w:p>
      <w:pPr>
        <w:ind w:left="360"/>
      </w:pPr>
      <w:r>
        <w:rPr>
          <w:rFonts w:ascii="Arial" w:hAnsi="Arial"/>
          <w:sz w:val="21"/>
        </w:rPr>
        <w:t>•  Tous les mécanismes d'authentification : mots de passe, AMF, certificats et identifiants de comptes de service.</w:t>
      </w:r>
    </w:p>
    <w:p>
      <w:pPr>
        <w:ind w:left="360"/>
      </w:pPr>
      <w:r>
        <w:rPr>
          <w:rFonts w:ascii="Arial" w:hAnsi="Arial"/>
          <w:sz w:val="21"/>
        </w:rPr>
        <w:t>•  Tous les systèmes qui traitent, stockent ou transmettent des CUI.</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Identifiant: </w:t>
      </w:r>
      <w:r>
        <w:rPr>
          <w:rFonts w:ascii="Arial" w:hAnsi="Arial"/>
          <w:sz w:val="21"/>
        </w:rPr>
        <w:t>Un nom unique (p. ex. nom d'utilisateur) distinguant un utilisateur, un appareil ou un processus.</w:t>
      </w:r>
    </w:p>
    <w:p>
      <w:r>
        <w:rPr>
          <w:rFonts w:ascii="Arial" w:hAnsi="Arial"/>
          <w:b/>
          <w:sz w:val="21"/>
        </w:rPr>
        <w:t xml:space="preserve">Authentifiant: </w:t>
      </w:r>
      <w:r>
        <w:rPr>
          <w:rFonts w:ascii="Arial" w:hAnsi="Arial"/>
          <w:sz w:val="21"/>
        </w:rPr>
        <w:t>Élément servant à prouver l'identité (mot de passe, jeton matériel, clé d'accès/FIDO2, certificat).</w:t>
      </w:r>
    </w:p>
    <w:p>
      <w:r>
        <w:rPr>
          <w:rFonts w:ascii="Arial" w:hAnsi="Arial"/>
          <w:b/>
          <w:sz w:val="21"/>
        </w:rPr>
        <w:t xml:space="preserve">Authentification multifacteur (AMF): </w:t>
      </w:r>
      <w:r>
        <w:rPr>
          <w:rFonts w:ascii="Arial" w:hAnsi="Arial"/>
          <w:sz w:val="21"/>
        </w:rPr>
        <w:t>Exiger deux facteurs indépendants ou plus (savoir, avoir, être).</w:t>
      </w:r>
    </w:p>
    <w:p>
      <w:r>
        <w:rPr>
          <w:rFonts w:ascii="Arial" w:hAnsi="Arial"/>
          <w:b/>
          <w:sz w:val="21"/>
        </w:rPr>
        <w:t xml:space="preserve">AMF résistante à l'hameçonnage: </w:t>
      </w:r>
      <w:r>
        <w:rPr>
          <w:rFonts w:ascii="Arial" w:hAnsi="Arial"/>
          <w:sz w:val="21"/>
        </w:rPr>
        <w:t>AMF difficile à contourner par hameçonnage (p. ex. FIDO2/clés d'accès, ICP).</w:t>
      </w:r>
    </w:p>
    <w:p>
      <w:r>
        <w:rPr>
          <w:rFonts w:ascii="Arial" w:hAnsi="Arial"/>
          <w:b/>
          <w:sz w:val="21"/>
        </w:rPr>
        <w:t xml:space="preserve">Compte de service: </w:t>
      </w:r>
      <w:r>
        <w:rPr>
          <w:rFonts w:ascii="Arial" w:hAnsi="Arial"/>
          <w:sz w:val="21"/>
        </w:rPr>
        <w:t>Un compte non humain utilisé par une application ou un processus.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définir les normes d'authentification; imposer l'AMF; superviser la gestion des identifiants.</w:t>
            </w:r>
          </w:p>
        </w:tc>
      </w:tr>
      <w:tr>
        <w:tc>
          <w:tcPr>
            <w:tcW w:type="dxa" w:w="5040"/>
          </w:tcPr>
          <w:p>
            <w:r/>
            <w:r>
              <w:rPr>
                <w:rFonts w:ascii="Arial" w:hAnsi="Arial"/>
                <w:b w:val="0"/>
                <w:sz w:val="20"/>
              </w:rPr>
              <w:t>[Administrateur système]</w:t>
            </w:r>
          </w:p>
        </w:tc>
        <w:tc>
          <w:tcPr>
            <w:tcW w:type="dxa" w:w="5040"/>
          </w:tcPr>
          <w:p>
            <w:r/>
            <w:r>
              <w:rPr>
                <w:rFonts w:ascii="Arial" w:hAnsi="Arial"/>
                <w:b w:val="0"/>
                <w:sz w:val="20"/>
              </w:rPr>
              <w:t>Attribuer des identifiants uniques; configurer et imposer l'AMF et les règles de mots de passe; gérer les authentifiants et comptes de service.</w:t>
            </w:r>
          </w:p>
        </w:tc>
      </w:tr>
      <w:tr>
        <w:tc>
          <w:tcPr>
            <w:tcW w:type="dxa" w:w="5040"/>
          </w:tcPr>
          <w:p>
            <w:r/>
            <w:r>
              <w:rPr>
                <w:rFonts w:ascii="Arial" w:hAnsi="Arial"/>
                <w:b w:val="0"/>
                <w:sz w:val="20"/>
              </w:rPr>
              <w:t>[Ressources humaines]</w:t>
            </w:r>
          </w:p>
        </w:tc>
        <w:tc>
          <w:tcPr>
            <w:tcW w:type="dxa" w:w="5040"/>
          </w:tcPr>
          <w:p>
            <w:r/>
            <w:r>
              <w:rPr>
                <w:rFonts w:ascii="Arial" w:hAnsi="Arial"/>
                <w:b w:val="0"/>
                <w:sz w:val="20"/>
              </w:rPr>
              <w:t>Fournir l'information d'identité autoritative pour l'approvisionnement et le retrait.</w:t>
            </w:r>
          </w:p>
        </w:tc>
      </w:tr>
      <w:tr>
        <w:tc>
          <w:tcPr>
            <w:tcW w:type="dxa" w:w="5040"/>
          </w:tcPr>
          <w:p>
            <w:r/>
            <w:r>
              <w:rPr>
                <w:rFonts w:ascii="Arial" w:hAnsi="Arial"/>
                <w:b w:val="0"/>
                <w:sz w:val="20"/>
              </w:rPr>
              <w:t>Tous les utilisateurs</w:t>
            </w:r>
          </w:p>
        </w:tc>
        <w:tc>
          <w:tcPr>
            <w:tcW w:type="dxa" w:w="5040"/>
          </w:tcPr>
          <w:p>
            <w:r/>
            <w:r>
              <w:rPr>
                <w:rFonts w:ascii="Arial" w:hAnsi="Arial"/>
                <w:b w:val="0"/>
                <w:sz w:val="20"/>
              </w:rPr>
              <w:t>Protéger leurs identifiants; utiliser l'AMF; ne jamais partager de comptes; signaler les compromissions.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financer les outils; accepter le risque résiduel.</w:t>
            </w:r>
          </w:p>
        </w:tc>
      </w:tr>
    </w:tbl>
    <w:p/>
    <w:p>
      <w:pPr>
        <w:spacing w:before="200" w:after="80"/>
      </w:pPr>
      <w:r>
        <w:rPr>
          <w:rFonts w:ascii="Arial" w:hAnsi="Arial"/>
          <w:b/>
          <w:color w:val="2E5FA3"/>
          <w:sz w:val="26"/>
        </w:rPr>
        <w:t>5.  Énoncés de politique</w:t>
      </w:r>
    </w:p>
    <w:p>
      <w:r>
        <w:rPr>
          <w:rFonts w:ascii="Arial" w:hAnsi="Arial"/>
          <w:b/>
          <w:color w:val="2E5FA3"/>
          <w:sz w:val="21"/>
        </w:rPr>
        <w:t>PS-1  Identification unique</w:t>
      </w:r>
    </w:p>
    <w:p>
      <w:r>
        <w:rPr>
          <w:rFonts w:ascii="Arial" w:hAnsi="Arial"/>
          <w:sz w:val="21"/>
        </w:rPr>
        <w:t>Chaque utilisateur, appareil et processus accédant aux systèmes visés doit être identifié de façon unique. Les comptes partagés ou génériques sont interdits sur les systèmes contenant des CUI, sauf s'ils sont techniquement inévitables, approuvés et documentés avec des contrôles compensatoires.</w:t>
      </w:r>
    </w:p>
    <w:p>
      <w:r>
        <w:rPr>
          <w:rFonts w:ascii="Arial" w:hAnsi="Arial"/>
          <w:b/>
          <w:color w:val="2E5FA3"/>
          <w:sz w:val="21"/>
        </w:rPr>
        <w:t>PS-2  Identification et authentification des appareils</w:t>
      </w:r>
    </w:p>
    <w:p>
      <w:r>
        <w:rPr>
          <w:rFonts w:ascii="Arial" w:hAnsi="Arial"/>
          <w:sz w:val="21"/>
        </w:rPr>
        <w:t>Les appareils qui se connectent aux réseaux ou systèmes visés doivent être identifiés et authentifiés lorsque possible (p. ex. 802.1X, certificats ou vérification de conformité).</w:t>
      </w:r>
    </w:p>
    <w:p>
      <w:r>
        <w:rPr>
          <w:rFonts w:ascii="Arial" w:hAnsi="Arial"/>
          <w:b/>
          <w:color w:val="2E5FA3"/>
          <w:sz w:val="21"/>
        </w:rPr>
        <w:t>PS-3  Authentification multifacteur</w:t>
      </w:r>
    </w:p>
    <w:p>
      <w:r>
        <w:rPr>
          <w:rFonts w:ascii="Arial" w:hAnsi="Arial"/>
          <w:sz w:val="21"/>
        </w:rPr>
        <w:t>L'AMF doit être exigée pour tous les utilisateurs, en priorisant les facteurs résistants à l'hameçonnage (FIDO2/clés d'accès, ICP) plutôt que le SMS, en commençant par les comptes privilégiés, l'accès à distance et l'accès aux CUI.</w:t>
      </w:r>
    </w:p>
    <w:p>
      <w:r>
        <w:rPr>
          <w:rFonts w:ascii="Arial" w:hAnsi="Arial"/>
          <w:b/>
          <w:color w:val="2E5FA3"/>
          <w:sz w:val="21"/>
        </w:rPr>
        <w:t>PS-4  Authentification résistante à la réinsertion</w:t>
      </w:r>
    </w:p>
    <w:p>
      <w:r>
        <w:rPr>
          <w:rFonts w:ascii="Arial" w:hAnsi="Arial"/>
          <w:sz w:val="21"/>
        </w:rPr>
        <w:t>L'authentification des comptes privilégiés et de l'accès réseau doit utiliser des mécanismes résistants aux attaques par réinsertion (replay).</w:t>
      </w:r>
    </w:p>
    <w:p>
      <w:r>
        <w:rPr>
          <w:rFonts w:ascii="Arial" w:hAnsi="Arial"/>
          <w:b/>
          <w:color w:val="2E5FA3"/>
          <w:sz w:val="21"/>
        </w:rPr>
        <w:t>PS-5  Gestion des identifiants</w:t>
      </w:r>
    </w:p>
    <w:p>
      <w:r>
        <w:rPr>
          <w:rFonts w:ascii="Arial" w:hAnsi="Arial"/>
          <w:sz w:val="21"/>
        </w:rPr>
        <w:t>Les identifiants doivent être émis par un processus autorisé, jamais réutilisés et désactivés après une période d'inactivité définie. La correspondance identifiant-personne doit être tenue.</w:t>
      </w:r>
    </w:p>
    <w:p>
      <w:r>
        <w:rPr>
          <w:rFonts w:ascii="Arial" w:hAnsi="Arial"/>
          <w:b/>
          <w:color w:val="2E5FA3"/>
          <w:sz w:val="21"/>
        </w:rPr>
        <w:t>PS-6  Gestion des mots de passe</w:t>
      </w:r>
    </w:p>
    <w:p>
      <w:r>
        <w:rPr>
          <w:rFonts w:ascii="Arial" w:hAnsi="Arial"/>
          <w:sz w:val="21"/>
        </w:rPr>
        <w:t>Lorsque des mots de passe sont utilisés, ils doivent suivre les pratiques actuelles : phrases de passe fondées sur la longueur, vérification contre les mots de passe compromis, pas de rotation périodique forcée sans indication de compromission, et stockage sécurisé (hachage salé). Les mots de passe par défaut doivent être changés avant le déploiement.</w:t>
      </w:r>
    </w:p>
    <w:p>
      <w:r>
        <w:rPr>
          <w:rFonts w:ascii="Arial" w:hAnsi="Arial"/>
          <w:b/>
          <w:color w:val="2E5FA3"/>
          <w:sz w:val="21"/>
        </w:rPr>
        <w:t>PS-7  Gestion des authentifiants</w:t>
      </w:r>
    </w:p>
    <w:p>
      <w:r>
        <w:rPr>
          <w:rFonts w:ascii="Arial" w:hAnsi="Arial"/>
          <w:sz w:val="21"/>
        </w:rPr>
        <w:t>Les authentifiants (jetons, certificats, clés) doivent être émis, protégés, renouvelés, révoqués et récupérés par des processus contrôlés. Les authentifiants perdus ou compromis doivent être révoqués rapidement.</w:t>
      </w:r>
    </w:p>
    <w:p>
      <w:r>
        <w:rPr>
          <w:rFonts w:ascii="Arial" w:hAnsi="Arial"/>
          <w:b/>
          <w:color w:val="2E5FA3"/>
          <w:sz w:val="21"/>
        </w:rPr>
        <w:t>PS-8  Rétroaction d'authentification</w:t>
      </w:r>
    </w:p>
    <w:p>
      <w:r>
        <w:rPr>
          <w:rFonts w:ascii="Arial" w:hAnsi="Arial"/>
          <w:sz w:val="21"/>
        </w:rPr>
        <w:t>La rétroaction d'authentification (p. ex. masquage de la saisie du mot de passe) doit être gérée pour ne pas exposer les identifiants à l'observation.</w:t>
      </w:r>
    </w:p>
    <w:p>
      <w:r>
        <w:rPr>
          <w:rFonts w:ascii="Arial" w:hAnsi="Arial"/>
          <w:b/>
          <w:color w:val="2E5FA3"/>
          <w:sz w:val="21"/>
        </w:rPr>
        <w:t>PS-9  Identifiants de service et privilégiés</w:t>
      </w:r>
    </w:p>
    <w:p>
      <w:r>
        <w:rPr>
          <w:rFonts w:ascii="Arial" w:hAnsi="Arial"/>
          <w:sz w:val="21"/>
        </w:rPr>
        <w:t>Les identifiants de comptes de service et privilégiés doivent être placés en coffre-fort, renouvelés et contrôlés; les accès privilégiés permanents doivent être minimisés.</w:t>
      </w:r>
    </w:p>
    <w:p>
      <w:pPr>
        <w:spacing w:before="200" w:after="80"/>
      </w:pPr>
      <w:r>
        <w:rPr>
          <w:rFonts w:ascii="Arial" w:hAnsi="Arial"/>
          <w:b/>
          <w:color w:val="2E5FA3"/>
          <w:sz w:val="26"/>
        </w:rPr>
        <w:t>6.  Procédures et preuves d'audit</w:t>
      </w:r>
    </w:p>
    <w:p>
      <w:r>
        <w:rPr>
          <w:rFonts w:ascii="Arial" w:hAnsi="Arial"/>
          <w:sz w:val="21"/>
        </w:rPr>
        <w:t>6.1  Approvisionnement et AMF</w:t>
      </w:r>
    </w:p>
    <w:p>
      <w:pPr>
        <w:ind w:left="360"/>
      </w:pPr>
      <w:r>
        <w:rPr>
          <w:rFonts w:ascii="Arial" w:hAnsi="Arial"/>
          <w:sz w:val="21"/>
        </w:rPr>
        <w:t>•  Attribuer des identifiants uniques par le processus autorisé; inscrire les utilisateurs à l'AMF avant l'accès.</w:t>
      </w:r>
    </w:p>
    <w:p>
      <w:pPr>
        <w:ind w:left="360"/>
      </w:pPr>
      <w:r>
        <w:rPr>
          <w:rFonts w:ascii="Arial" w:hAnsi="Arial"/>
          <w:sz w:val="21"/>
        </w:rPr>
        <w:t>•  Imposer l'AMF résistante à l'hameçonnage pour l'accès administrateur, à distance et aux CUI.</w:t>
      </w:r>
    </w:p>
    <w:p>
      <w:r>
        <w:rPr>
          <w:rFonts w:ascii="Arial" w:hAnsi="Arial"/>
          <w:b/>
          <w:sz w:val="21"/>
        </w:rPr>
        <w:t xml:space="preserve">Preuves d'audit : </w:t>
      </w:r>
      <w:r>
        <w:rPr>
          <w:rFonts w:ascii="Arial" w:hAnsi="Arial"/>
          <w:sz w:val="21"/>
        </w:rPr>
        <w:t>Configuration du fournisseur d'identité; rapports d'inscription à l'AMF; demandes d'accès.</w:t>
      </w:r>
    </w:p>
    <w:p>
      <w:r>
        <w:rPr>
          <w:rFonts w:ascii="Arial" w:hAnsi="Arial"/>
          <w:sz w:val="21"/>
        </w:rPr>
        <w:t>6.2  Cycle de vie des identifiants</w:t>
      </w:r>
    </w:p>
    <w:p>
      <w:pPr>
        <w:ind w:left="360"/>
      </w:pPr>
      <w:r>
        <w:rPr>
          <w:rFonts w:ascii="Arial" w:hAnsi="Arial"/>
          <w:sz w:val="21"/>
        </w:rPr>
        <w:t>•  Appliquer les règles de mots de passe/phrases avec vérification des mots de passe compromis.</w:t>
      </w:r>
    </w:p>
    <w:p>
      <w:pPr>
        <w:ind w:left="360"/>
      </w:pPr>
      <w:r>
        <w:rPr>
          <w:rFonts w:ascii="Arial" w:hAnsi="Arial"/>
          <w:sz w:val="21"/>
        </w:rPr>
        <w:t>•  Mettre en coffre-fort et renouveler les identifiants de service/privilégiés; révoquer en cas de perte ou de départ.</w:t>
      </w:r>
    </w:p>
    <w:p>
      <w:r>
        <w:rPr>
          <w:rFonts w:ascii="Arial" w:hAnsi="Arial"/>
          <w:b/>
          <w:sz w:val="21"/>
        </w:rPr>
        <w:t xml:space="preserve">Preuves d'audit : </w:t>
      </w:r>
      <w:r>
        <w:rPr>
          <w:rFonts w:ascii="Arial" w:hAnsi="Arial"/>
          <w:sz w:val="21"/>
        </w:rPr>
        <w:t>Configuration de la politique de mots de passe; journaux du coffre-fort; registres de révocation.</w:t>
      </w:r>
    </w:p>
    <w:p>
      <w:r>
        <w:rPr>
          <w:rFonts w:ascii="Arial" w:hAnsi="Arial"/>
          <w:sz w:val="21"/>
        </w:rPr>
        <w:t>6.3  Hygiène des identifiants</w:t>
      </w:r>
    </w:p>
    <w:p>
      <w:pPr>
        <w:ind w:left="360"/>
      </w:pPr>
      <w:r>
        <w:rPr>
          <w:rFonts w:ascii="Arial" w:hAnsi="Arial"/>
          <w:sz w:val="21"/>
        </w:rPr>
        <w:t>•  Désactiver les identifiants après l'inactivité définie; empêcher la réutilisation.</w:t>
      </w:r>
    </w:p>
    <w:p>
      <w:pPr>
        <w:ind w:left="360"/>
      </w:pPr>
      <w:r>
        <w:rPr>
          <w:rFonts w:ascii="Arial" w:hAnsi="Arial"/>
          <w:sz w:val="21"/>
        </w:rPr>
        <w:t>•  Tenir la correspondance identifiant-personne.</w:t>
      </w:r>
    </w:p>
    <w:p>
      <w:r>
        <w:rPr>
          <w:rFonts w:ascii="Arial" w:hAnsi="Arial"/>
          <w:b/>
          <w:sz w:val="21"/>
        </w:rPr>
        <w:t xml:space="preserve">Preuves d'audit : </w:t>
      </w:r>
      <w:r>
        <w:rPr>
          <w:rFonts w:ascii="Arial" w:hAnsi="Arial"/>
          <w:sz w:val="21"/>
        </w:rPr>
        <w:t>Rapports de désactivation pour inactivité; inventaire des identifiants.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l'identification unique, l'application de l'AMF (surtout résistante à l'hameçonnage pour l'accès privilégié/à distance/aux CUI) et la gestion sécurisée du cycle de vie des identifiants.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contrôle d'accès — autorisation qui suit l'authentification.</w:t>
      </w:r>
    </w:p>
    <w:p>
      <w:pPr>
        <w:ind w:left="360"/>
      </w:pPr>
      <w:r>
        <w:rPr>
          <w:rFonts w:ascii="Arial" w:hAnsi="Arial"/>
          <w:sz w:val="21"/>
        </w:rPr>
        <w:t>•  Politique de sécurité du personnel — entrée/départ déclenchant l'approvisionnement.</w:t>
      </w:r>
    </w:p>
    <w:p>
      <w:pPr>
        <w:ind w:left="360"/>
      </w:pPr>
      <w:r>
        <w:rPr>
          <w:rFonts w:ascii="Arial" w:hAnsi="Arial"/>
          <w:sz w:val="21"/>
        </w:rPr>
        <w:t>•  Plan de sécurité du système (SSP) — détails de mise en œuvre de l'authentification.</w:t>
      </w:r>
    </w:p>
    <w:p>
      <w:pPr>
        <w:ind w:left="360"/>
      </w:pPr>
      <w:r>
        <w:rPr>
          <w:rFonts w:ascii="Arial" w:hAnsi="Arial"/>
          <w:sz w:val="21"/>
        </w:rPr>
        <w:t>•  Politique de gestion de la configuration — paramètres de référence imposant les règles d'authentification.</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03.05);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03.05.01  Identification et authentification des utilisateurs</w:t>
            </w:r>
          </w:p>
        </w:tc>
        <w:tc>
          <w:tcPr>
            <w:tcW w:type="dxa" w:w="3360"/>
          </w:tcPr>
          <w:p>
            <w:r/>
            <w:r>
              <w:rPr>
                <w:rFonts w:ascii="Arial" w:hAnsi="Arial"/>
                <w:b w:val="0"/>
                <w:sz w:val="20"/>
              </w:rPr>
              <w:t>PS-1, PS-3 — identifiants uniques; AMF</w:t>
            </w:r>
          </w:p>
        </w:tc>
        <w:tc>
          <w:tcPr>
            <w:tcW w:type="dxa" w:w="3360"/>
          </w:tcPr>
          <w:p>
            <w:r/>
            <w:r>
              <w:rPr>
                <w:rFonts w:ascii="Arial" w:hAnsi="Arial"/>
                <w:b w:val="0"/>
                <w:sz w:val="20"/>
              </w:rPr>
              <w:t>Config du fournisseur d'identité; rapports d'AMF</w:t>
            </w:r>
          </w:p>
        </w:tc>
      </w:tr>
      <w:tr>
        <w:tc>
          <w:tcPr>
            <w:tcW w:type="dxa" w:w="3360"/>
          </w:tcPr>
          <w:p>
            <w:r/>
            <w:r>
              <w:rPr>
                <w:rFonts w:ascii="Arial" w:hAnsi="Arial"/>
                <w:b w:val="0"/>
                <w:sz w:val="20"/>
              </w:rPr>
              <w:t>03.05.02  Identification et authentification des appareils</w:t>
            </w:r>
          </w:p>
        </w:tc>
        <w:tc>
          <w:tcPr>
            <w:tcW w:type="dxa" w:w="3360"/>
          </w:tcPr>
          <w:p>
            <w:r/>
            <w:r>
              <w:rPr>
                <w:rFonts w:ascii="Arial" w:hAnsi="Arial"/>
                <w:b w:val="0"/>
                <w:sz w:val="20"/>
              </w:rPr>
              <w:t>PS-2 — authentification des appareils</w:t>
            </w:r>
          </w:p>
        </w:tc>
        <w:tc>
          <w:tcPr>
            <w:tcW w:type="dxa" w:w="3360"/>
          </w:tcPr>
          <w:p>
            <w:r/>
            <w:r>
              <w:rPr>
                <w:rFonts w:ascii="Arial" w:hAnsi="Arial"/>
                <w:b w:val="0"/>
                <w:sz w:val="20"/>
              </w:rPr>
              <w:t>Config 802.1X/certificat/conformité</w:t>
            </w:r>
          </w:p>
        </w:tc>
      </w:tr>
      <w:tr>
        <w:tc>
          <w:tcPr>
            <w:tcW w:type="dxa" w:w="3360"/>
          </w:tcPr>
          <w:p>
            <w:r/>
            <w:r>
              <w:rPr>
                <w:rFonts w:ascii="Arial" w:hAnsi="Arial"/>
                <w:b w:val="0"/>
                <w:sz w:val="20"/>
              </w:rPr>
              <w:t>03.05.03  Authentification multifacteur</w:t>
            </w:r>
          </w:p>
        </w:tc>
        <w:tc>
          <w:tcPr>
            <w:tcW w:type="dxa" w:w="3360"/>
          </w:tcPr>
          <w:p>
            <w:r/>
            <w:r>
              <w:rPr>
                <w:rFonts w:ascii="Arial" w:hAnsi="Arial"/>
                <w:b w:val="0"/>
                <w:sz w:val="20"/>
              </w:rPr>
              <w:t>PS-3 — AMF partout, résistante à l'hameçonnage</w:t>
            </w:r>
          </w:p>
        </w:tc>
        <w:tc>
          <w:tcPr>
            <w:tcW w:type="dxa" w:w="3360"/>
          </w:tcPr>
          <w:p>
            <w:r/>
            <w:r>
              <w:rPr>
                <w:rFonts w:ascii="Arial" w:hAnsi="Arial"/>
                <w:b w:val="0"/>
                <w:sz w:val="20"/>
              </w:rPr>
              <w:t>Preuves d'inscription et d'application de l'AMF</w:t>
            </w:r>
          </w:p>
        </w:tc>
      </w:tr>
      <w:tr>
        <w:tc>
          <w:tcPr>
            <w:tcW w:type="dxa" w:w="3360"/>
          </w:tcPr>
          <w:p>
            <w:r/>
            <w:r>
              <w:rPr>
                <w:rFonts w:ascii="Arial" w:hAnsi="Arial"/>
                <w:b w:val="0"/>
                <w:sz w:val="20"/>
              </w:rPr>
              <w:t>03.05.04  Authentification résistante à la réinsertion</w:t>
            </w:r>
          </w:p>
        </w:tc>
        <w:tc>
          <w:tcPr>
            <w:tcW w:type="dxa" w:w="3360"/>
          </w:tcPr>
          <w:p>
            <w:r/>
            <w:r>
              <w:rPr>
                <w:rFonts w:ascii="Arial" w:hAnsi="Arial"/>
                <w:b w:val="0"/>
                <w:sz w:val="20"/>
              </w:rPr>
              <w:t>PS-4 — résistance à la réinsertion</w:t>
            </w:r>
          </w:p>
        </w:tc>
        <w:tc>
          <w:tcPr>
            <w:tcW w:type="dxa" w:w="3360"/>
          </w:tcPr>
          <w:p>
            <w:r/>
            <w:r>
              <w:rPr>
                <w:rFonts w:ascii="Arial" w:hAnsi="Arial"/>
                <w:b w:val="0"/>
                <w:sz w:val="20"/>
              </w:rPr>
              <w:t>Configuration du mécanisme d'authentification</w:t>
            </w:r>
          </w:p>
        </w:tc>
      </w:tr>
      <w:tr>
        <w:tc>
          <w:tcPr>
            <w:tcW w:type="dxa" w:w="3360"/>
          </w:tcPr>
          <w:p>
            <w:r/>
            <w:r>
              <w:rPr>
                <w:rFonts w:ascii="Arial" w:hAnsi="Arial"/>
                <w:b w:val="0"/>
                <w:sz w:val="20"/>
              </w:rPr>
              <w:t>03.05.05  Gestion des identifiants</w:t>
            </w:r>
          </w:p>
        </w:tc>
        <w:tc>
          <w:tcPr>
            <w:tcW w:type="dxa" w:w="3360"/>
          </w:tcPr>
          <w:p>
            <w:r/>
            <w:r>
              <w:rPr>
                <w:rFonts w:ascii="Arial" w:hAnsi="Arial"/>
                <w:b w:val="0"/>
                <w:sz w:val="20"/>
              </w:rPr>
              <w:t>PS-5 — émission, non-réutilisation, désactivation</w:t>
            </w:r>
          </w:p>
        </w:tc>
        <w:tc>
          <w:tcPr>
            <w:tcW w:type="dxa" w:w="3360"/>
          </w:tcPr>
          <w:p>
            <w:r/>
            <w:r>
              <w:rPr>
                <w:rFonts w:ascii="Arial" w:hAnsi="Arial"/>
                <w:b w:val="0"/>
                <w:sz w:val="20"/>
              </w:rPr>
              <w:t>Inventaire des identifiants; rapports de désactivation</w:t>
            </w:r>
          </w:p>
        </w:tc>
      </w:tr>
      <w:tr>
        <w:tc>
          <w:tcPr>
            <w:tcW w:type="dxa" w:w="3360"/>
          </w:tcPr>
          <w:p>
            <w:r/>
            <w:r>
              <w:rPr>
                <w:rFonts w:ascii="Arial" w:hAnsi="Arial"/>
                <w:b w:val="0"/>
                <w:sz w:val="20"/>
              </w:rPr>
              <w:t>03.05.07  Gestion des mots de passe</w:t>
            </w:r>
          </w:p>
        </w:tc>
        <w:tc>
          <w:tcPr>
            <w:tcW w:type="dxa" w:w="3360"/>
          </w:tcPr>
          <w:p>
            <w:r/>
            <w:r>
              <w:rPr>
                <w:rFonts w:ascii="Arial" w:hAnsi="Arial"/>
                <w:b w:val="0"/>
                <w:sz w:val="20"/>
              </w:rPr>
              <w:t>PS-6 — règles modernes; pas de valeurs par défaut</w:t>
            </w:r>
          </w:p>
        </w:tc>
        <w:tc>
          <w:tcPr>
            <w:tcW w:type="dxa" w:w="3360"/>
          </w:tcPr>
          <w:p>
            <w:r/>
            <w:r>
              <w:rPr>
                <w:rFonts w:ascii="Arial" w:hAnsi="Arial"/>
                <w:b w:val="0"/>
                <w:sz w:val="20"/>
              </w:rPr>
              <w:t>Config de la politique; vérification des mots de passe compromis</w:t>
            </w:r>
          </w:p>
        </w:tc>
      </w:tr>
      <w:tr>
        <w:tc>
          <w:tcPr>
            <w:tcW w:type="dxa" w:w="3360"/>
          </w:tcPr>
          <w:p>
            <w:r/>
            <w:r>
              <w:rPr>
                <w:rFonts w:ascii="Arial" w:hAnsi="Arial"/>
                <w:b w:val="0"/>
                <w:sz w:val="20"/>
              </w:rPr>
              <w:t>03.05.11  Rétroaction d'authentification</w:t>
            </w:r>
          </w:p>
        </w:tc>
        <w:tc>
          <w:tcPr>
            <w:tcW w:type="dxa" w:w="3360"/>
          </w:tcPr>
          <w:p>
            <w:r/>
            <w:r>
              <w:rPr>
                <w:rFonts w:ascii="Arial" w:hAnsi="Arial"/>
                <w:b w:val="0"/>
                <w:sz w:val="20"/>
              </w:rPr>
              <w:t>PS-8 — rétroaction masquée</w:t>
            </w:r>
          </w:p>
        </w:tc>
        <w:tc>
          <w:tcPr>
            <w:tcW w:type="dxa" w:w="3360"/>
          </w:tcPr>
          <w:p>
            <w:r/>
            <w:r>
              <w:rPr>
                <w:rFonts w:ascii="Arial" w:hAnsi="Arial"/>
                <w:b w:val="0"/>
                <w:sz w:val="20"/>
              </w:rPr>
              <w:t>Configuration de l'interface d'ouverture de session</w:t>
            </w:r>
          </w:p>
        </w:tc>
      </w:tr>
      <w:tr>
        <w:tc>
          <w:tcPr>
            <w:tcW w:type="dxa" w:w="3360"/>
          </w:tcPr>
          <w:p>
            <w:r/>
            <w:r>
              <w:rPr>
                <w:rFonts w:ascii="Arial" w:hAnsi="Arial"/>
                <w:b w:val="0"/>
                <w:sz w:val="20"/>
              </w:rPr>
              <w:t>03.05.12  Gestion des authentifiants</w:t>
            </w:r>
          </w:p>
        </w:tc>
        <w:tc>
          <w:tcPr>
            <w:tcW w:type="dxa" w:w="3360"/>
          </w:tcPr>
          <w:p>
            <w:r/>
            <w:r>
              <w:rPr>
                <w:rFonts w:ascii="Arial" w:hAnsi="Arial"/>
                <w:b w:val="0"/>
                <w:sz w:val="20"/>
              </w:rPr>
              <w:t>PS-7, PS-9 — cycle de vie; coffre-fort</w:t>
            </w:r>
          </w:p>
        </w:tc>
        <w:tc>
          <w:tcPr>
            <w:tcW w:type="dxa" w:w="3360"/>
          </w:tcPr>
          <w:p>
            <w:r/>
            <w:r>
              <w:rPr>
                <w:rFonts w:ascii="Arial" w:hAnsi="Arial"/>
                <w:b w:val="0"/>
                <w:sz w:val="20"/>
              </w:rPr>
              <w:t>Émission/révocation des authentifiants; journaux du coffre-fort</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