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et plan de réponse aux incidents</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et plan de réponse aux incidents</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et ce plan établissent comment [Nom de l'organisation] se prépare aux incidents de cybersécurité, les détecte, les analyse, les contient, les éradique, s'en rétablit et les signale, pour les systèmes qui traitent, stockent ou transmettent de l'information contrôlée non classifiée (CUI). Une réponse préparée et exercée limite les dommages, préserve les preuves et respecte les obligations contractuelles et réglementaires de signalement. Ce document définit les rôles, les niveaux de gravité et les étapes que suivent les intervenants.</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incidents et incidents soupçonnés de cybersécurité touchant les systèmes, données ou CUI visés.</w:t>
      </w:r>
    </w:p>
    <w:p>
      <w:pPr>
        <w:ind w:left="360"/>
      </w:pPr>
      <w:r>
        <w:rPr>
          <w:rFonts w:ascii="Arial" w:hAnsi="Arial"/>
          <w:sz w:val="21"/>
        </w:rPr>
        <w:t>•  Tout le personnel, sous-traitants et tiers impliqués dans la détection, le signalement ou la réponse.</w:t>
      </w:r>
    </w:p>
    <w:p>
      <w:pPr>
        <w:ind w:left="360"/>
      </w:pPr>
      <w:r>
        <w:rPr>
          <w:rFonts w:ascii="Arial" w:hAnsi="Arial"/>
          <w:sz w:val="21"/>
        </w:rPr>
        <w:t>•  Tous les systèmes qui traitent, stockent ou transmettent des CUI.</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Événement: </w:t>
      </w:r>
      <w:r>
        <w:rPr>
          <w:rFonts w:ascii="Arial" w:hAnsi="Arial"/>
          <w:sz w:val="21"/>
        </w:rPr>
        <w:t>Toute occurrence observable dans un système ou un réseau.</w:t>
      </w:r>
    </w:p>
    <w:p>
      <w:r>
        <w:rPr>
          <w:rFonts w:ascii="Arial" w:hAnsi="Arial"/>
          <w:b/>
          <w:sz w:val="21"/>
        </w:rPr>
        <w:t xml:space="preserve">Incident: </w:t>
      </w:r>
      <w:r>
        <w:rPr>
          <w:rFonts w:ascii="Arial" w:hAnsi="Arial"/>
          <w:sz w:val="21"/>
        </w:rPr>
        <w:t>Un événement qui compromet réellement ou de façon imminente la confidentialité, l'intégrité ou la disponibilité.</w:t>
      </w:r>
    </w:p>
    <w:p>
      <w:r>
        <w:rPr>
          <w:rFonts w:ascii="Arial" w:hAnsi="Arial"/>
          <w:b/>
          <w:sz w:val="21"/>
        </w:rPr>
        <w:t xml:space="preserve">Confinement: </w:t>
      </w:r>
      <w:r>
        <w:rPr>
          <w:rFonts w:ascii="Arial" w:hAnsi="Arial"/>
          <w:sz w:val="21"/>
        </w:rPr>
        <w:t>Actions visant à limiter la portée et l'impact d'un incident.</w:t>
      </w:r>
    </w:p>
    <w:p>
      <w:r>
        <w:rPr>
          <w:rFonts w:ascii="Arial" w:hAnsi="Arial"/>
          <w:b/>
          <w:sz w:val="21"/>
        </w:rPr>
        <w:t xml:space="preserve">Éradication: </w:t>
      </w:r>
      <w:r>
        <w:rPr>
          <w:rFonts w:ascii="Arial" w:hAnsi="Arial"/>
          <w:sz w:val="21"/>
        </w:rPr>
        <w:t>Suppression de la cause de l'incident (p. ex. maliciel, accès non autorisé).</w:t>
      </w:r>
    </w:p>
    <w:p>
      <w:r>
        <w:rPr>
          <w:rFonts w:ascii="Arial" w:hAnsi="Arial"/>
          <w:b/>
          <w:sz w:val="21"/>
        </w:rPr>
        <w:t xml:space="preserve">Incident touchant des CUI: </w:t>
      </w:r>
      <w:r>
        <w:rPr>
          <w:rFonts w:ascii="Arial" w:hAnsi="Arial"/>
          <w:sz w:val="21"/>
        </w:rPr>
        <w:t>Incident impliquant la compromission soupçonnée ou confirmée de CUI, avec obligations de signalement précises.</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diriger ou désigner le responsable de la réponse; maintenir et tester le plan.</w:t>
            </w:r>
          </w:p>
        </w:tc>
      </w:tr>
      <w:tr>
        <w:tc>
          <w:tcPr>
            <w:tcW w:type="dxa" w:w="5040"/>
          </w:tcPr>
          <w:p>
            <w:r/>
            <w:r>
              <w:rPr>
                <w:rFonts w:ascii="Arial" w:hAnsi="Arial"/>
                <w:b w:val="0"/>
                <w:sz w:val="20"/>
              </w:rPr>
              <w:t>Responsable de la réponse aux incidents</w:t>
            </w:r>
          </w:p>
        </w:tc>
        <w:tc>
          <w:tcPr>
            <w:tcW w:type="dxa" w:w="5040"/>
          </w:tcPr>
          <w:p>
            <w:r/>
            <w:r>
              <w:rPr>
                <w:rFonts w:ascii="Arial" w:hAnsi="Arial"/>
                <w:b w:val="0"/>
                <w:sz w:val="20"/>
              </w:rPr>
              <w:t>Coordonner les activités; déclarer la gravité; gérer les communications et le signalement.</w:t>
            </w:r>
          </w:p>
        </w:tc>
      </w:tr>
      <w:tr>
        <w:tc>
          <w:tcPr>
            <w:tcW w:type="dxa" w:w="5040"/>
          </w:tcPr>
          <w:p>
            <w:r/>
            <w:r>
              <w:rPr>
                <w:rFonts w:ascii="Arial" w:hAnsi="Arial"/>
                <w:b w:val="0"/>
                <w:sz w:val="20"/>
              </w:rPr>
              <w:t>[Administrateur système] / Intervenants</w:t>
            </w:r>
          </w:p>
        </w:tc>
        <w:tc>
          <w:tcPr>
            <w:tcW w:type="dxa" w:w="5040"/>
          </w:tcPr>
          <w:p>
            <w:r/>
            <w:r>
              <w:rPr>
                <w:rFonts w:ascii="Arial" w:hAnsi="Arial"/>
                <w:b w:val="0"/>
                <w:sz w:val="20"/>
              </w:rPr>
              <w:t>Exécuter le confinement, l'éradication et le rétablissement; préserver les preuves.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les décisions majeures; autoriser les notifications externes; accepter le risque résiduel.</w:t>
            </w:r>
          </w:p>
        </w:tc>
      </w:tr>
      <w:tr>
        <w:tc>
          <w:tcPr>
            <w:tcW w:type="dxa" w:w="5040"/>
          </w:tcPr>
          <w:p>
            <w:r/>
            <w:r>
              <w:rPr>
                <w:rFonts w:ascii="Arial" w:hAnsi="Arial"/>
                <w:b w:val="0"/>
                <w:sz w:val="20"/>
              </w:rPr>
              <w:t>Tous les utilisateurs</w:t>
            </w:r>
          </w:p>
        </w:tc>
        <w:tc>
          <w:tcPr>
            <w:tcW w:type="dxa" w:w="5040"/>
          </w:tcPr>
          <w:p>
            <w:r/>
            <w:r>
              <w:rPr>
                <w:rFonts w:ascii="Arial" w:hAnsi="Arial"/>
                <w:b w:val="0"/>
                <w:sz w:val="20"/>
              </w:rPr>
              <w:t>Signaler immédiatement tout incident soupçonné par le canal défini; ne pas enquêter seuls.</w:t>
            </w:r>
          </w:p>
        </w:tc>
      </w:tr>
    </w:tbl>
    <w:p/>
    <w:p>
      <w:pPr>
        <w:spacing w:before="200" w:after="80"/>
      </w:pPr>
      <w:r>
        <w:rPr>
          <w:rFonts w:ascii="Arial" w:hAnsi="Arial"/>
          <w:b/>
          <w:color w:val="2E5FA3"/>
          <w:sz w:val="26"/>
        </w:rPr>
        <w:t>5.  Énoncés de politique</w:t>
      </w:r>
    </w:p>
    <w:p>
      <w:r>
        <w:rPr>
          <w:rFonts w:ascii="Arial" w:hAnsi="Arial"/>
          <w:b/>
          <w:color w:val="2E5FA3"/>
          <w:sz w:val="21"/>
        </w:rPr>
        <w:t>PS-1  Capacité de réponse aux incidents</w:t>
      </w:r>
    </w:p>
    <w:p>
      <w:r>
        <w:rPr>
          <w:rFonts w:ascii="Arial" w:hAnsi="Arial"/>
          <w:sz w:val="21"/>
        </w:rPr>
        <w:t>[Nom de l'organisation] doit maintenir une capacité de réponse couvrant la préparation, la détection et l'analyse, le confinement, l'éradication, le rétablissement et l'activité post-incident.</w:t>
      </w:r>
    </w:p>
    <w:p>
      <w:r>
        <w:rPr>
          <w:rFonts w:ascii="Arial" w:hAnsi="Arial"/>
          <w:b/>
          <w:color w:val="2E5FA3"/>
          <w:sz w:val="21"/>
        </w:rPr>
        <w:t>PS-2  Plan de réponse documenté</w:t>
      </w:r>
    </w:p>
    <w:p>
      <w:r>
        <w:rPr>
          <w:rFonts w:ascii="Arial" w:hAnsi="Arial"/>
          <w:sz w:val="21"/>
        </w:rPr>
        <w:t>Un plan écrit doit définir les rôles, les niveaux de gravité, l'arbre d'appels/d'escalade, l'autorité décisionnelle et les obligations de signalement. Il doit demeurer accessible durant une panne (y compris hors ligne) et être fourni au personnel concerné.</w:t>
      </w:r>
    </w:p>
    <w:p>
      <w:r>
        <w:rPr>
          <w:rFonts w:ascii="Arial" w:hAnsi="Arial"/>
          <w:b/>
          <w:color w:val="2E5FA3"/>
          <w:sz w:val="21"/>
        </w:rPr>
        <w:t>PS-3  Détection et signalement</w:t>
      </w:r>
    </w:p>
    <w:p>
      <w:r>
        <w:rPr>
          <w:rFonts w:ascii="Arial" w:hAnsi="Arial"/>
          <w:sz w:val="21"/>
        </w:rPr>
        <w:t>Les utilisateurs et les systèmes doivent disposer de canaux clairs pour signaler les incidents soupçonnés. Les alertes et la surveillance (issues des contrôles d'audit et d'intégrité) doivent alimenter la détection.</w:t>
      </w:r>
    </w:p>
    <w:p>
      <w:r>
        <w:rPr>
          <w:rFonts w:ascii="Arial" w:hAnsi="Arial"/>
          <w:b/>
          <w:color w:val="2E5FA3"/>
          <w:sz w:val="21"/>
        </w:rPr>
        <w:t>PS-4  Triage et gravité</w:t>
      </w:r>
    </w:p>
    <w:p>
      <w:r>
        <w:rPr>
          <w:rFonts w:ascii="Arial" w:hAnsi="Arial"/>
          <w:sz w:val="21"/>
        </w:rPr>
        <w:t>Les événements signalés doivent être triés et se voir attribuer un niveau de gravité qui détermine les délais de réponse, l'escalade et la notification.</w:t>
      </w:r>
    </w:p>
    <w:p>
      <w:r>
        <w:rPr>
          <w:rFonts w:ascii="Arial" w:hAnsi="Arial"/>
          <w:b/>
          <w:color w:val="2E5FA3"/>
          <w:sz w:val="21"/>
        </w:rPr>
        <w:t>PS-5  Confinement, éradication et rétablissement</w:t>
      </w:r>
    </w:p>
    <w:p>
      <w:r>
        <w:rPr>
          <w:rFonts w:ascii="Arial" w:hAnsi="Arial"/>
          <w:sz w:val="21"/>
        </w:rPr>
        <w:t>Les intervenants doivent contenir les incidents pour en limiter l'impact, éradiquer la cause et rétablir les systèmes à un état connu et fiable, en préservant les preuves.</w:t>
      </w:r>
    </w:p>
    <w:p>
      <w:r>
        <w:rPr>
          <w:rFonts w:ascii="Arial" w:hAnsi="Arial"/>
          <w:b/>
          <w:color w:val="2E5FA3"/>
          <w:sz w:val="21"/>
        </w:rPr>
        <w:t>PS-6  Signalement et notification</w:t>
      </w:r>
    </w:p>
    <w:p>
      <w:r>
        <w:rPr>
          <w:rFonts w:ascii="Arial" w:hAnsi="Arial"/>
          <w:sz w:val="21"/>
        </w:rPr>
        <w:t>Les incidents touchant des CUI doivent être signalés aux parties requises (p. ex. agents de contrats gouvernementaux / le DoD selon le contrat) dans le délai prescrit. Les notifications internes et externes doivent être coordonnées par la direction.</w:t>
      </w:r>
    </w:p>
    <w:p>
      <w:r>
        <w:rPr>
          <w:rFonts w:ascii="Arial" w:hAnsi="Arial"/>
          <w:b/>
          <w:color w:val="2E5FA3"/>
          <w:sz w:val="21"/>
        </w:rPr>
        <w:t>PS-7  Mise à l'essai du plan</w:t>
      </w:r>
    </w:p>
    <w:p>
      <w:r>
        <w:rPr>
          <w:rFonts w:ascii="Arial" w:hAnsi="Arial"/>
          <w:sz w:val="21"/>
        </w:rPr>
        <w:t>Le plan doit être testé au moins [annuellement] (p. ex. exercice sur table); les lacunes doivent être consignées et réinjectées dans le plan.</w:t>
      </w:r>
    </w:p>
    <w:p>
      <w:r>
        <w:rPr>
          <w:rFonts w:ascii="Arial" w:hAnsi="Arial"/>
          <w:b/>
          <w:color w:val="2E5FA3"/>
          <w:sz w:val="21"/>
        </w:rPr>
        <w:t>PS-8  Formation à la réponse aux incidents</w:t>
      </w:r>
    </w:p>
    <w:p>
      <w:r>
        <w:rPr>
          <w:rFonts w:ascii="Arial" w:hAnsi="Arial"/>
          <w:sz w:val="21"/>
        </w:rPr>
        <w:t>Les intervenants et le personnel concerné doivent recevoir une formation adaptée à leur rôle, y compris comment et quand signaler.</w:t>
      </w:r>
    </w:p>
    <w:p>
      <w:r>
        <w:rPr>
          <w:rFonts w:ascii="Arial" w:hAnsi="Arial"/>
          <w:b/>
          <w:color w:val="2E5FA3"/>
          <w:sz w:val="21"/>
        </w:rPr>
        <w:t>PS-9  Revue post-incident</w:t>
      </w:r>
    </w:p>
    <w:p>
      <w:r>
        <w:rPr>
          <w:rFonts w:ascii="Arial" w:hAnsi="Arial"/>
          <w:sz w:val="21"/>
        </w:rPr>
        <w:t>Après les incidents importants, une revue des leçons apprises doit être menée et les améliorations appliquées aux contrôles et au plan.</w:t>
      </w:r>
    </w:p>
    <w:p>
      <w:pPr>
        <w:spacing w:before="200" w:after="80"/>
      </w:pPr>
      <w:r>
        <w:rPr>
          <w:rFonts w:ascii="Arial" w:hAnsi="Arial"/>
          <w:b/>
          <w:color w:val="2E5FA3"/>
          <w:sz w:val="26"/>
        </w:rPr>
        <w:t>6.  Procédures et preuves d'audit</w:t>
      </w:r>
    </w:p>
    <w:p>
      <w:r>
        <w:rPr>
          <w:rFonts w:ascii="Arial" w:hAnsi="Arial"/>
          <w:sz w:val="21"/>
        </w:rPr>
        <w:t>6.1  De la détection au confinement</w:t>
      </w:r>
    </w:p>
    <w:p>
      <w:pPr>
        <w:ind w:left="360"/>
      </w:pPr>
      <w:r>
        <w:rPr>
          <w:rFonts w:ascii="Arial" w:hAnsi="Arial"/>
          <w:sz w:val="21"/>
        </w:rPr>
        <w:t>•  Un utilisateur/système signale un événement par le canal défini; le responsable trie et attribue la gravité.</w:t>
      </w:r>
    </w:p>
    <w:p>
      <w:pPr>
        <w:ind w:left="360"/>
      </w:pPr>
      <w:r>
        <w:rPr>
          <w:rFonts w:ascii="Arial" w:hAnsi="Arial"/>
          <w:sz w:val="21"/>
        </w:rPr>
        <w:t>•  Les intervenants contiennent l'incident en préservant les journaux et les preuves.</w:t>
      </w:r>
    </w:p>
    <w:p>
      <w:r>
        <w:rPr>
          <w:rFonts w:ascii="Arial" w:hAnsi="Arial"/>
          <w:b/>
          <w:sz w:val="21"/>
        </w:rPr>
        <w:t xml:space="preserve">Preuves d'audit : </w:t>
      </w:r>
      <w:r>
        <w:rPr>
          <w:rFonts w:ascii="Arial" w:hAnsi="Arial"/>
          <w:sz w:val="21"/>
        </w:rPr>
        <w:t>Billets d'incident horodatés; attributions de gravité; registres de préservation des preuves.</w:t>
      </w:r>
    </w:p>
    <w:p>
      <w:r>
        <w:rPr>
          <w:rFonts w:ascii="Arial" w:hAnsi="Arial"/>
          <w:sz w:val="21"/>
        </w:rPr>
        <w:t>6.2  Éradication, rétablissement et signalement</w:t>
      </w:r>
    </w:p>
    <w:p>
      <w:pPr>
        <w:ind w:left="360"/>
      </w:pPr>
      <w:r>
        <w:rPr>
          <w:rFonts w:ascii="Arial" w:hAnsi="Arial"/>
          <w:sz w:val="21"/>
        </w:rPr>
        <w:t>•  Supprimer la cause; rétablir les systèmes à un état connu et fiable; valider.</w:t>
      </w:r>
    </w:p>
    <w:p>
      <w:pPr>
        <w:ind w:left="360"/>
      </w:pPr>
      <w:r>
        <w:rPr>
          <w:rFonts w:ascii="Arial" w:hAnsi="Arial"/>
          <w:sz w:val="21"/>
        </w:rPr>
        <w:t>•  Pour les incidents touchant des CUI, signaler aux parties requises dans le délai prescrit.</w:t>
      </w:r>
    </w:p>
    <w:p>
      <w:r>
        <w:rPr>
          <w:rFonts w:ascii="Arial" w:hAnsi="Arial"/>
          <w:b/>
          <w:sz w:val="21"/>
        </w:rPr>
        <w:t xml:space="preserve">Preuves d'audit : </w:t>
      </w:r>
      <w:r>
        <w:rPr>
          <w:rFonts w:ascii="Arial" w:hAnsi="Arial"/>
          <w:sz w:val="21"/>
        </w:rPr>
        <w:t>Registres de rétablissement; rapports d'incident CUI et confirmations de soumission.</w:t>
      </w:r>
    </w:p>
    <w:p>
      <w:r>
        <w:rPr>
          <w:rFonts w:ascii="Arial" w:hAnsi="Arial"/>
          <w:sz w:val="21"/>
        </w:rPr>
        <w:t>6.3  Tester et améliorer</w:t>
      </w:r>
    </w:p>
    <w:p>
      <w:pPr>
        <w:ind w:left="360"/>
      </w:pPr>
      <w:r>
        <w:rPr>
          <w:rFonts w:ascii="Arial" w:hAnsi="Arial"/>
          <w:sz w:val="21"/>
        </w:rPr>
        <w:t>•  Mener un exercice sur table annuel; consigner les lacunes.</w:t>
      </w:r>
    </w:p>
    <w:p>
      <w:pPr>
        <w:ind w:left="360"/>
      </w:pPr>
      <w:r>
        <w:rPr>
          <w:rFonts w:ascii="Arial" w:hAnsi="Arial"/>
          <w:sz w:val="21"/>
        </w:rPr>
        <w:t>•  Mener une revue des leçons apprises après les incidents importants; mettre à jour le plan.</w:t>
      </w:r>
    </w:p>
    <w:p>
      <w:r>
        <w:rPr>
          <w:rFonts w:ascii="Arial" w:hAnsi="Arial"/>
          <w:b/>
          <w:sz w:val="21"/>
        </w:rPr>
        <w:t xml:space="preserve">Preuves d'audit : </w:t>
      </w:r>
      <w:r>
        <w:rPr>
          <w:rFonts w:ascii="Arial" w:hAnsi="Arial"/>
          <w:sz w:val="21"/>
        </w:rPr>
        <w:t>Registres d'exercice; rapports de leçons apprises; historique des révisions du plan.</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 plan est à jour et testé, que les incidents sont triés et documentés, que les délais de signalement des CUI sont respectés et que les intervenants sont formés.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Plan de sécurité du système (SSP) — contexte des systèmes et des CUI.</w:t>
      </w:r>
    </w:p>
    <w:p>
      <w:pPr>
        <w:ind w:left="360"/>
      </w:pPr>
      <w:r>
        <w:rPr>
          <w:rFonts w:ascii="Arial" w:hAnsi="Arial"/>
          <w:sz w:val="21"/>
        </w:rPr>
        <w:t>•  Politique d'audit et de responsabilisation — journaux soutenant la détection et l'enquête.</w:t>
      </w:r>
    </w:p>
    <w:p>
      <w:pPr>
        <w:ind w:left="360"/>
      </w:pPr>
      <w:r>
        <w:rPr>
          <w:rFonts w:ascii="Arial" w:hAnsi="Arial"/>
          <w:sz w:val="21"/>
        </w:rPr>
        <w:t>•  Politique d'intégrité des systèmes et de l'information — surveillance et détection de maliciels alimentant la réponse.</w:t>
      </w:r>
    </w:p>
    <w:p>
      <w:pPr>
        <w:ind w:left="360"/>
      </w:pPr>
      <w:r>
        <w:rPr>
          <w:rFonts w:ascii="Arial" w:hAnsi="Arial"/>
          <w:sz w:val="21"/>
        </w:rPr>
        <w:t>•  Politique de contrôle d'accès — actions sur les comptes lors du confinement.</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03.06);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03.06.01  Traitement des incidents</w:t>
            </w:r>
          </w:p>
        </w:tc>
        <w:tc>
          <w:tcPr>
            <w:tcW w:type="dxa" w:w="3360"/>
          </w:tcPr>
          <w:p>
            <w:r/>
            <w:r>
              <w:rPr>
                <w:rFonts w:ascii="Arial" w:hAnsi="Arial"/>
                <w:b w:val="0"/>
                <w:sz w:val="20"/>
              </w:rPr>
              <w:t>PS-1, PS-5 — cycle de traitement</w:t>
            </w:r>
          </w:p>
        </w:tc>
        <w:tc>
          <w:tcPr>
            <w:tcW w:type="dxa" w:w="3360"/>
          </w:tcPr>
          <w:p>
            <w:r/>
            <w:r>
              <w:rPr>
                <w:rFonts w:ascii="Arial" w:hAnsi="Arial"/>
                <w:b w:val="0"/>
                <w:sz w:val="20"/>
              </w:rPr>
              <w:t>Dossiers d'incident; preuves de confinement/rétablissement</w:t>
            </w:r>
          </w:p>
        </w:tc>
      </w:tr>
      <w:tr>
        <w:tc>
          <w:tcPr>
            <w:tcW w:type="dxa" w:w="3360"/>
          </w:tcPr>
          <w:p>
            <w:r/>
            <w:r>
              <w:rPr>
                <w:rFonts w:ascii="Arial" w:hAnsi="Arial"/>
                <w:b w:val="0"/>
                <w:sz w:val="20"/>
              </w:rPr>
              <w:t>03.06.02  Surveillance, signalement et assistance</w:t>
            </w:r>
          </w:p>
        </w:tc>
        <w:tc>
          <w:tcPr>
            <w:tcW w:type="dxa" w:w="3360"/>
          </w:tcPr>
          <w:p>
            <w:r/>
            <w:r>
              <w:rPr>
                <w:rFonts w:ascii="Arial" w:hAnsi="Arial"/>
                <w:b w:val="0"/>
                <w:sz w:val="20"/>
              </w:rPr>
              <w:t>PS-3, PS-6 — détection, signalement, assistance</w:t>
            </w:r>
          </w:p>
        </w:tc>
        <w:tc>
          <w:tcPr>
            <w:tcW w:type="dxa" w:w="3360"/>
          </w:tcPr>
          <w:p>
            <w:r/>
            <w:r>
              <w:rPr>
                <w:rFonts w:ascii="Arial" w:hAnsi="Arial"/>
                <w:b w:val="0"/>
                <w:sz w:val="20"/>
              </w:rPr>
              <w:t>Canaux de signalement; rapports d'incident CUI</w:t>
            </w:r>
          </w:p>
        </w:tc>
      </w:tr>
      <w:tr>
        <w:tc>
          <w:tcPr>
            <w:tcW w:type="dxa" w:w="3360"/>
          </w:tcPr>
          <w:p>
            <w:r/>
            <w:r>
              <w:rPr>
                <w:rFonts w:ascii="Arial" w:hAnsi="Arial"/>
                <w:b w:val="0"/>
                <w:sz w:val="20"/>
              </w:rPr>
              <w:t>03.06.03  Mise à l'essai de la réponse</w:t>
            </w:r>
          </w:p>
        </w:tc>
        <w:tc>
          <w:tcPr>
            <w:tcW w:type="dxa" w:w="3360"/>
          </w:tcPr>
          <w:p>
            <w:r/>
            <w:r>
              <w:rPr>
                <w:rFonts w:ascii="Arial" w:hAnsi="Arial"/>
                <w:b w:val="0"/>
                <w:sz w:val="20"/>
              </w:rPr>
              <w:t>PS-7 — essais annuels</w:t>
            </w:r>
          </w:p>
        </w:tc>
        <w:tc>
          <w:tcPr>
            <w:tcW w:type="dxa" w:w="3360"/>
          </w:tcPr>
          <w:p>
            <w:r/>
            <w:r>
              <w:rPr>
                <w:rFonts w:ascii="Arial" w:hAnsi="Arial"/>
                <w:b w:val="0"/>
                <w:sz w:val="20"/>
              </w:rPr>
              <w:t>Registres d'exercice sur table</w:t>
            </w:r>
          </w:p>
        </w:tc>
      </w:tr>
      <w:tr>
        <w:tc>
          <w:tcPr>
            <w:tcW w:type="dxa" w:w="3360"/>
          </w:tcPr>
          <w:p>
            <w:r/>
            <w:r>
              <w:rPr>
                <w:rFonts w:ascii="Arial" w:hAnsi="Arial"/>
                <w:b w:val="0"/>
                <w:sz w:val="20"/>
              </w:rPr>
              <w:t>03.06.04  Formation à la réponse</w:t>
            </w:r>
          </w:p>
        </w:tc>
        <w:tc>
          <w:tcPr>
            <w:tcW w:type="dxa" w:w="3360"/>
          </w:tcPr>
          <w:p>
            <w:r/>
            <w:r>
              <w:rPr>
                <w:rFonts w:ascii="Arial" w:hAnsi="Arial"/>
                <w:b w:val="0"/>
                <w:sz w:val="20"/>
              </w:rPr>
              <w:t>PS-8 — formation des intervenants</w:t>
            </w:r>
          </w:p>
        </w:tc>
        <w:tc>
          <w:tcPr>
            <w:tcW w:type="dxa" w:w="3360"/>
          </w:tcPr>
          <w:p>
            <w:r/>
            <w:r>
              <w:rPr>
                <w:rFonts w:ascii="Arial" w:hAnsi="Arial"/>
                <w:b w:val="0"/>
                <w:sz w:val="20"/>
              </w:rPr>
              <w:t>Relevés d'achèvement de formation</w:t>
            </w:r>
          </w:p>
        </w:tc>
      </w:tr>
      <w:tr>
        <w:tc>
          <w:tcPr>
            <w:tcW w:type="dxa" w:w="3360"/>
          </w:tcPr>
          <w:p>
            <w:r/>
            <w:r>
              <w:rPr>
                <w:rFonts w:ascii="Arial" w:hAnsi="Arial"/>
                <w:b w:val="0"/>
                <w:sz w:val="20"/>
              </w:rPr>
              <w:t>03.06.05  Plan de réponse aux incidents</w:t>
            </w:r>
          </w:p>
        </w:tc>
        <w:tc>
          <w:tcPr>
            <w:tcW w:type="dxa" w:w="3360"/>
          </w:tcPr>
          <w:p>
            <w:r/>
            <w:r>
              <w:rPr>
                <w:rFonts w:ascii="Arial" w:hAnsi="Arial"/>
                <w:b w:val="0"/>
                <w:sz w:val="20"/>
              </w:rPr>
              <w:t>PS-2 — plan documenté</w:t>
            </w:r>
          </w:p>
        </w:tc>
        <w:tc>
          <w:tcPr>
            <w:tcW w:type="dxa" w:w="3360"/>
          </w:tcPr>
          <w:p>
            <w:r/>
            <w:r>
              <w:rPr>
                <w:rFonts w:ascii="Arial" w:hAnsi="Arial"/>
                <w:b w:val="0"/>
                <w:sz w:val="20"/>
              </w:rPr>
              <w:t>Le plan de réponse (daté, diffusé)</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