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sécurité de l'information</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sécurité de l'information</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Voici la politique générale de sécurité de l'information de [Nom de l'organisation]. Elle énonce les attentes de la direction quant à la protection de la confidentialité, de l'intégrité et de la disponibilité de l'information — y compris l'information contrôlée non classifiée (CUI) — et établit le cadre de politiques propres aux domaines, de rôles et de responsabilisation qui mettent en œuvre ces attentes. Toutes les autres politiques de sécurité tirent leur autorité du présent document.</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Toute l'information et tous les systèmes d'information détenus ou exploités par [Nom de l'organisation], avec une attention particulière aux CUI.</w:t>
      </w:r>
    </w:p>
    <w:p>
      <w:pPr>
        <w:ind w:left="360"/>
      </w:pPr>
      <w:r>
        <w:rPr>
          <w:rFonts w:ascii="Arial" w:hAnsi="Arial"/>
          <w:sz w:val="21"/>
        </w:rPr>
        <w:t>•  Tous les employés, sous-traitants et tiers qui accèdent à l'information ou aux systèmes de l'organisation.</w:t>
      </w:r>
    </w:p>
    <w:p>
      <w:pPr>
        <w:ind w:left="360"/>
      </w:pPr>
      <w:r>
        <w:rPr>
          <w:rFonts w:ascii="Arial" w:hAnsi="Arial"/>
          <w:sz w:val="21"/>
        </w:rPr>
        <w:t>•  Tous les lieux et environnements, y compris l'infonuagique, le sur place et le télétravail.</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Sécurité de l'information: </w:t>
      </w:r>
      <w:r>
        <w:rPr>
          <w:rFonts w:ascii="Arial" w:hAnsi="Arial"/>
          <w:sz w:val="21"/>
        </w:rPr>
        <w:t>Protéger la confidentialité, l'intégrité et la disponibilité de l'information.</w:t>
      </w:r>
    </w:p>
    <w:p>
      <w:r>
        <w:rPr>
          <w:rFonts w:ascii="Arial" w:hAnsi="Arial"/>
          <w:b/>
          <w:sz w:val="21"/>
        </w:rPr>
        <w:t xml:space="preserve">Confidentialité: </w:t>
      </w:r>
      <w:r>
        <w:rPr>
          <w:rFonts w:ascii="Arial" w:hAnsi="Arial"/>
          <w:sz w:val="21"/>
        </w:rPr>
        <w:t>Veiller à ce que l'information ne soit accessible qu'aux personnes autorisées.</w:t>
      </w:r>
    </w:p>
    <w:p>
      <w:r>
        <w:rPr>
          <w:rFonts w:ascii="Arial" w:hAnsi="Arial"/>
          <w:b/>
          <w:sz w:val="21"/>
        </w:rPr>
        <w:t xml:space="preserve">Intégrité: </w:t>
      </w:r>
      <w:r>
        <w:rPr>
          <w:rFonts w:ascii="Arial" w:hAnsi="Arial"/>
          <w:sz w:val="21"/>
        </w:rPr>
        <w:t>Veiller à ce que l'information soit exacte et non altérée de façon inappropriée.</w:t>
      </w:r>
    </w:p>
    <w:p>
      <w:r>
        <w:rPr>
          <w:rFonts w:ascii="Arial" w:hAnsi="Arial"/>
          <w:b/>
          <w:sz w:val="21"/>
        </w:rPr>
        <w:t xml:space="preserve">Disponibilité: </w:t>
      </w:r>
      <w:r>
        <w:rPr>
          <w:rFonts w:ascii="Arial" w:hAnsi="Arial"/>
          <w:sz w:val="21"/>
        </w:rPr>
        <w:t>Veiller à ce que l'information et les systèmes soient accessibles au besoin.</w:t>
      </w:r>
    </w:p>
    <w:p>
      <w:r>
        <w:rPr>
          <w:rFonts w:ascii="Arial" w:hAnsi="Arial"/>
          <w:b/>
          <w:sz w:val="21"/>
        </w:rPr>
        <w:t xml:space="preserve">CUI: </w:t>
      </w:r>
      <w:r>
        <w:rPr>
          <w:rFonts w:ascii="Arial" w:hAnsi="Arial"/>
          <w:sz w:val="21"/>
        </w:rPr>
        <w:t>Information contrôlée non classifiée nécessitant une protection en vertu d'une loi, d'un règlement ou d'un contrat.</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[Haute direction / RSSI]</w:t>
            </w:r>
          </w:p>
        </w:tc>
        <w:tc>
          <w:tcPr>
            <w:tcW w:type="dxa" w:w="5040"/>
          </w:tcPr>
          <w:p>
            <w:r/>
            <w:r>
              <w:rPr>
                <w:rFonts w:ascii="Arial" w:hAnsi="Arial"/>
                <w:b w:val="0"/>
                <w:sz w:val="20"/>
              </w:rPr>
              <w:t>Définir l'orientation de sécurité; approuver la présente politique et les politiques subordonnées; fournir les ressources; accepter le risque résiduel.</w:t>
            </w:r>
          </w:p>
        </w:tc>
      </w:tr>
      <w:tr>
        <w:tc>
          <w:tcPr>
            <w:tcW w:type="dxa" w:w="5040"/>
          </w:tcPr>
          <w:p>
            <w:r/>
            <w:r>
              <w:rPr>
                <w:rFonts w:ascii="Arial" w:hAnsi="Arial"/>
                <w:b w:val="0"/>
                <w:sz w:val="20"/>
              </w:rPr>
              <w:t>[Gestionnaire TI / ISSO]</w:t>
            </w:r>
          </w:p>
        </w:tc>
        <w:tc>
          <w:tcPr>
            <w:tcW w:type="dxa" w:w="5040"/>
          </w:tcPr>
          <w:p>
            <w:r/>
            <w:r>
              <w:rPr>
                <w:rFonts w:ascii="Arial" w:hAnsi="Arial"/>
                <w:b w:val="0"/>
                <w:sz w:val="20"/>
              </w:rPr>
              <w:t>Être propriétaire du programme de sécurité; maintenir les politiques subordonnées; superviser la mise en œuvre et les rapports.</w:t>
            </w:r>
          </w:p>
        </w:tc>
      </w:tr>
      <w:tr>
        <w:tc>
          <w:tcPr>
            <w:tcW w:type="dxa" w:w="5040"/>
          </w:tcPr>
          <w:p>
            <w:r/>
            <w:r>
              <w:rPr>
                <w:rFonts w:ascii="Arial" w:hAnsi="Arial"/>
                <w:b w:val="0"/>
                <w:sz w:val="20"/>
              </w:rPr>
              <w:t>[Gestionnaires de service / Superviseurs]</w:t>
            </w:r>
          </w:p>
        </w:tc>
        <w:tc>
          <w:tcPr>
            <w:tcW w:type="dxa" w:w="5040"/>
          </w:tcPr>
          <w:p>
            <w:r/>
            <w:r>
              <w:rPr>
                <w:rFonts w:ascii="Arial" w:hAnsi="Arial"/>
                <w:b w:val="0"/>
                <w:sz w:val="20"/>
              </w:rPr>
              <w:t>Veiller à la conformité de leur équipe; soutenir la mise en œuvre dans leur secteur.</w:t>
            </w:r>
          </w:p>
        </w:tc>
      </w:tr>
      <w:tr>
        <w:tc>
          <w:tcPr>
            <w:tcW w:type="dxa" w:w="5040"/>
          </w:tcPr>
          <w:p>
            <w:r/>
            <w:r>
              <w:rPr>
                <w:rFonts w:ascii="Arial" w:hAnsi="Arial"/>
                <w:b w:val="0"/>
                <w:sz w:val="20"/>
              </w:rPr>
              <w:t>Tous les utilisateurs</w:t>
            </w:r>
          </w:p>
        </w:tc>
        <w:tc>
          <w:tcPr>
            <w:tcW w:type="dxa" w:w="5040"/>
          </w:tcPr>
          <w:p>
            <w:r/>
            <w:r>
              <w:rPr>
                <w:rFonts w:ascii="Arial" w:hAnsi="Arial"/>
                <w:b w:val="0"/>
                <w:sz w:val="20"/>
              </w:rPr>
              <w:t>Protéger l'information et les CUI; suivre toutes les politiques de sécurité; signaler les incidents et préoccupations.</w:t>
            </w:r>
          </w:p>
        </w:tc>
      </w:tr>
    </w:tbl>
    <w:p/>
    <w:p>
      <w:pPr>
        <w:spacing w:before="200" w:after="80"/>
      </w:pPr>
      <w:r>
        <w:rPr>
          <w:rFonts w:ascii="Arial" w:hAnsi="Arial"/>
          <w:b/>
          <w:color w:val="2E5FA3"/>
          <w:sz w:val="26"/>
        </w:rPr>
        <w:t>5.  Énoncés de politique</w:t>
      </w:r>
    </w:p>
    <w:p>
      <w:r>
        <w:rPr>
          <w:rFonts w:ascii="Arial" w:hAnsi="Arial"/>
          <w:b/>
          <w:color w:val="2E5FA3"/>
          <w:sz w:val="21"/>
        </w:rPr>
        <w:t>PS-1  Engagement envers la sécurité de l'information</w:t>
      </w:r>
    </w:p>
    <w:p>
      <w:r>
        <w:rPr>
          <w:rFonts w:ascii="Arial" w:hAnsi="Arial"/>
          <w:sz w:val="21"/>
        </w:rPr>
        <w:t>[Nom de l'organisation] s'engage à protéger la confidentialité, l'intégrité et la disponibilité de son information et de celle qui lui est confiée, et à respecter ses obligations légales, réglementaires et contractuelles, y compris la protection des CUI.</w:t>
      </w:r>
    </w:p>
    <w:p>
      <w:r>
        <w:rPr>
          <w:rFonts w:ascii="Arial" w:hAnsi="Arial"/>
          <w:b/>
          <w:color w:val="2E5FA3"/>
          <w:sz w:val="21"/>
        </w:rPr>
        <w:t>PS-2  Cadre de politiques</w:t>
      </w:r>
    </w:p>
    <w:p>
      <w:r>
        <w:rPr>
          <w:rFonts w:ascii="Arial" w:hAnsi="Arial"/>
          <w:sz w:val="21"/>
        </w:rPr>
        <w:t>Un cadre de politiques propres aux domaines (contrôle d'accès, audit et responsabilisation, gestion de la configuration, identification et authentification, réponse aux incidents, maintenance, protection des supports, sécurité du personnel, protection physique, évaluation des risques, évaluation de la sécurité et surveillance continue, sensibilisation et formation, gestion des risques de la chaîne d'approvisionnement, protection des systèmes et des communications, intégrité des systèmes et de l'information, acquisition des systèmes et des services, et le SSP) met en œuvre la présente politique; chacune doit être maintenue et suivie.</w:t>
      </w:r>
    </w:p>
    <w:p>
      <w:r>
        <w:rPr>
          <w:rFonts w:ascii="Arial" w:hAnsi="Arial"/>
          <w:b/>
          <w:color w:val="2E5FA3"/>
          <w:sz w:val="21"/>
        </w:rPr>
        <w:t>PS-3  Rôles et responsabilisation</w:t>
      </w:r>
    </w:p>
    <w:p>
      <w:r>
        <w:rPr>
          <w:rFonts w:ascii="Arial" w:hAnsi="Arial"/>
          <w:sz w:val="21"/>
        </w:rPr>
        <w:t>Les rôles et responsabilités de sécurité doivent être attribués, et chacun est responsable de respecter les politiques de sécurité.</w:t>
      </w:r>
    </w:p>
    <w:p>
      <w:r>
        <w:rPr>
          <w:rFonts w:ascii="Arial" w:hAnsi="Arial"/>
          <w:b/>
          <w:color w:val="2E5FA3"/>
          <w:sz w:val="21"/>
        </w:rPr>
        <w:t>PS-4  Approche fondée sur le risque</w:t>
      </w:r>
    </w:p>
    <w:p>
      <w:r>
        <w:rPr>
          <w:rFonts w:ascii="Arial" w:hAnsi="Arial"/>
          <w:sz w:val="21"/>
        </w:rPr>
        <w:t>Les décisions de sécurité doivent être fondées sur le risque, en concentrant les ressources sur les plus grands risques pour l'information et les CUI.</w:t>
      </w:r>
    </w:p>
    <w:p>
      <w:r>
        <w:rPr>
          <w:rFonts w:ascii="Arial" w:hAnsi="Arial"/>
          <w:b/>
          <w:color w:val="2E5FA3"/>
          <w:sz w:val="21"/>
        </w:rPr>
        <w:t>PS-5  Conformité et amélioration continue</w:t>
      </w:r>
    </w:p>
    <w:p>
      <w:r>
        <w:rPr>
          <w:rFonts w:ascii="Arial" w:hAnsi="Arial"/>
          <w:sz w:val="21"/>
        </w:rPr>
        <w:t>L'organisation doit surveiller la conformité, évaluer l'efficacité des contrôles et améliorer continuellement sa posture de sécurité.</w:t>
      </w:r>
    </w:p>
    <w:p>
      <w:r>
        <w:rPr>
          <w:rFonts w:ascii="Arial" w:hAnsi="Arial"/>
          <w:b/>
          <w:color w:val="2E5FA3"/>
          <w:sz w:val="21"/>
        </w:rPr>
        <w:t>PS-6  Révision de la politique</w:t>
      </w:r>
    </w:p>
    <w:p>
      <w:r>
        <w:rPr>
          <w:rFonts w:ascii="Arial" w:hAnsi="Arial"/>
          <w:sz w:val="21"/>
        </w:rPr>
        <w:t>La présente politique et ses politiques subordonnées doivent être révisées au moins [annuellement] et mises à jour à mesure que l'entreprise, la technologie ou le paysage des menaces évolue.</w:t>
      </w:r>
    </w:p>
    <w:p>
      <w:pPr>
        <w:spacing w:before="200" w:after="80"/>
      </w:pPr>
      <w:r>
        <w:rPr>
          <w:rFonts w:ascii="Arial" w:hAnsi="Arial"/>
          <w:b/>
          <w:color w:val="2E5FA3"/>
          <w:sz w:val="26"/>
        </w:rPr>
        <w:t>6.  Procédures et preuves d'audit</w:t>
      </w:r>
    </w:p>
    <w:p>
      <w:r>
        <w:rPr>
          <w:rFonts w:ascii="Arial" w:hAnsi="Arial"/>
          <w:sz w:val="21"/>
        </w:rPr>
        <w:t>6.1  Gouverner et maintenir</w:t>
      </w:r>
    </w:p>
    <w:p>
      <w:pPr>
        <w:ind w:left="360"/>
      </w:pPr>
      <w:r>
        <w:rPr>
          <w:rFonts w:ascii="Arial" w:hAnsi="Arial"/>
          <w:sz w:val="21"/>
        </w:rPr>
        <w:t>•  Maintenir et diffuser la présente politique et l'ensemble des politiques subordonnées; attribuer les rôles de sécurité.</w:t>
      </w:r>
    </w:p>
    <w:p>
      <w:pPr>
        <w:ind w:left="360"/>
      </w:pPr>
      <w:r>
        <w:rPr>
          <w:rFonts w:ascii="Arial" w:hAnsi="Arial"/>
          <w:sz w:val="21"/>
        </w:rPr>
        <w:t>•  Réviser au moins annuellement et après tout changement important.</w:t>
      </w:r>
    </w:p>
    <w:p>
      <w:r>
        <w:rPr>
          <w:rFonts w:ascii="Arial" w:hAnsi="Arial"/>
          <w:b/>
          <w:sz w:val="21"/>
        </w:rPr>
        <w:t xml:space="preserve">Preuves d'audit : </w:t>
      </w:r>
      <w:r>
        <w:rPr>
          <w:rFonts w:ascii="Arial" w:hAnsi="Arial"/>
          <w:sz w:val="21"/>
        </w:rPr>
        <w:t>Ensemble de politiques approuvé (daté); attributions de rôles; registres de révision.</w:t>
      </w:r>
    </w:p>
    <w:p>
      <w:r>
        <w:rPr>
          <w:rFonts w:ascii="Arial" w:hAnsi="Arial"/>
          <w:sz w:val="21"/>
        </w:rPr>
        <w:t>6.2  Surveiller et améliorer</w:t>
      </w:r>
    </w:p>
    <w:p>
      <w:pPr>
        <w:ind w:left="360"/>
      </w:pPr>
      <w:r>
        <w:rPr>
          <w:rFonts w:ascii="Arial" w:hAnsi="Arial"/>
          <w:sz w:val="21"/>
        </w:rPr>
        <w:t>•  Surveiller la conformité et l'efficacité des contrôles; suivre les lacunes dans le POA&amp;M.</w:t>
      </w:r>
    </w:p>
    <w:p>
      <w:pPr>
        <w:ind w:left="360"/>
      </w:pPr>
      <w:r>
        <w:rPr>
          <w:rFonts w:ascii="Arial" w:hAnsi="Arial"/>
          <w:sz w:val="21"/>
        </w:rPr>
        <w:t>•  Appliquer les améliorations fondées sur les évaluations, incidents et changements.</w:t>
      </w:r>
    </w:p>
    <w:p>
      <w:r>
        <w:rPr>
          <w:rFonts w:ascii="Arial" w:hAnsi="Arial"/>
          <w:b/>
          <w:sz w:val="21"/>
        </w:rPr>
        <w:t xml:space="preserve">Preuves d'audit : </w:t>
      </w:r>
      <w:r>
        <w:rPr>
          <w:rFonts w:ascii="Arial" w:hAnsi="Arial"/>
          <w:sz w:val="21"/>
        </w:rPr>
        <w:t>Rapports de conformité/évaluation; POA&amp;M; historique des révisions.</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 cadre de politiques est maintenu et diffusé, que les rôles sont attribués, que la conformité est surveillée et que les politiques sont révisées au moins annuellement.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Plan de sécurité du système (SSP) — référence de mise en œuvre des contrôles.</w:t>
      </w:r>
    </w:p>
    <w:p>
      <w:pPr>
        <w:ind w:left="360"/>
      </w:pPr>
      <w:r>
        <w:rPr>
          <w:rFonts w:ascii="Arial" w:hAnsi="Arial"/>
          <w:sz w:val="21"/>
        </w:rPr>
        <w:t>•  Toutes les politiques propres aux domaines — subordonnées à la présente politique.</w:t>
      </w:r>
    </w:p>
    <w:p>
      <w:pPr>
        <w:ind w:left="360"/>
      </w:pPr>
      <w:r>
        <w:rPr>
          <w:rFonts w:ascii="Arial" w:hAnsi="Arial"/>
          <w:sz w:val="21"/>
        </w:rPr>
        <w:t>•  Politique d'évaluation des risques — base de risque des décisions de sécurité.</w:t>
      </w:r>
    </w:p>
    <w:p>
      <w:pPr>
        <w:ind w:left="360"/>
      </w:pPr>
      <w:r>
        <w:rPr>
          <w:rFonts w:ascii="Arial" w:hAnsi="Arial"/>
          <w:sz w:val="21"/>
        </w:rPr>
        <w:t>•  Politique d'évaluation de la sécurité et de surveillance continue — conformité et amélioration.</w:t>
      </w:r>
    </w:p>
    <w:p>
      <w:pPr>
        <w:spacing w:before="200" w:after="80"/>
      </w:pPr>
      <w:r>
        <w:rPr>
          <w:rFonts w:ascii="Arial" w:hAnsi="Arial"/>
          <w:b/>
          <w:color w:val="2E5FA3"/>
          <w:sz w:val="26"/>
        </w:rPr>
        <w:t>10.  Correspondance des contrôles</w:t>
      </w:r>
    </w:p>
    <w:p>
      <w:r>
        <w:rPr>
          <w:rFonts w:ascii="Arial" w:hAnsi="Arial"/>
          <w:sz w:val="21"/>
        </w:rPr>
        <w:t>Cette politique générale est mise en œuvre par les politiques propres aux domaines et correspond principalement aux contrôles de planification. Les identifiants proviennent du NIST SP 800-171 Rev 3;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03.15.01  Politiques et procédures</w:t>
            </w:r>
          </w:p>
        </w:tc>
        <w:tc>
          <w:tcPr>
            <w:tcW w:type="dxa" w:w="3360"/>
          </w:tcPr>
          <w:p>
            <w:r/>
            <w:r>
              <w:rPr>
                <w:rFonts w:ascii="Arial" w:hAnsi="Arial"/>
                <w:b w:val="0"/>
                <w:sz w:val="20"/>
              </w:rPr>
              <w:t>PS-1, PS-2, PS-6 — cadre de politiques; révision</w:t>
            </w:r>
          </w:p>
        </w:tc>
        <w:tc>
          <w:tcPr>
            <w:tcW w:type="dxa" w:w="3360"/>
          </w:tcPr>
          <w:p>
            <w:r/>
            <w:r>
              <w:rPr>
                <w:rFonts w:ascii="Arial" w:hAnsi="Arial"/>
                <w:b w:val="0"/>
                <w:sz w:val="20"/>
              </w:rPr>
              <w:t>La présente politique et l'ensemble subordonné (datés)</w:t>
            </w:r>
          </w:p>
        </w:tc>
      </w:tr>
      <w:tr>
        <w:tc>
          <w:tcPr>
            <w:tcW w:type="dxa" w:w="3360"/>
          </w:tcPr>
          <w:p>
            <w:r/>
            <w:r>
              <w:rPr>
                <w:rFonts w:ascii="Arial" w:hAnsi="Arial"/>
                <w:b w:val="0"/>
                <w:sz w:val="20"/>
              </w:rPr>
              <w:t>03.15.02  Plan de sécurité du système</w:t>
            </w:r>
          </w:p>
        </w:tc>
        <w:tc>
          <w:tcPr>
            <w:tcW w:type="dxa" w:w="3360"/>
          </w:tcPr>
          <w:p>
            <w:r/>
            <w:r>
              <w:rPr>
                <w:rFonts w:ascii="Arial" w:hAnsi="Arial"/>
                <w:b w:val="0"/>
                <w:sz w:val="20"/>
              </w:rPr>
              <w:t>PS-2, PS-4 — cadre alimentant le SSP</w:t>
            </w:r>
          </w:p>
        </w:tc>
        <w:tc>
          <w:tcPr>
            <w:tcW w:type="dxa" w:w="3360"/>
          </w:tcPr>
          <w:p>
            <w:r/>
            <w:r>
              <w:rPr>
                <w:rFonts w:ascii="Arial" w:hAnsi="Arial"/>
                <w:b w:val="0"/>
                <w:sz w:val="20"/>
              </w:rPr>
              <w:t>Renvoi au SSP et au plan de programme</w:t>
            </w:r>
          </w:p>
        </w:tc>
      </w:tr>
      <w:tr>
        <w:tc>
          <w:tcPr>
            <w:tcW w:type="dxa" w:w="3360"/>
          </w:tcPr>
          <w:p>
            <w:r/>
            <w:r>
              <w:rPr>
                <w:rFonts w:ascii="Arial" w:hAnsi="Arial"/>
                <w:b w:val="0"/>
                <w:sz w:val="20"/>
              </w:rPr>
              <w:t>(Toutes les familles 03.01–03.17)</w:t>
            </w:r>
          </w:p>
        </w:tc>
        <w:tc>
          <w:tcPr>
            <w:tcW w:type="dxa" w:w="3360"/>
          </w:tcPr>
          <w:p>
            <w:r/>
            <w:r>
              <w:rPr>
                <w:rFonts w:ascii="Arial" w:hAnsi="Arial"/>
                <w:b w:val="0"/>
                <w:sz w:val="20"/>
              </w:rPr>
              <w:t>PS-2 — mises en œuvre par les politiques subordonnées</w:t>
            </w:r>
          </w:p>
        </w:tc>
        <w:tc>
          <w:tcPr>
            <w:tcW w:type="dxa" w:w="3360"/>
          </w:tcPr>
          <w:p>
            <w:r/>
            <w:r>
              <w:rPr>
                <w:rFonts w:ascii="Arial" w:hAnsi="Arial"/>
                <w:b w:val="0"/>
                <w:sz w:val="20"/>
              </w:rPr>
              <w:t>La politique de domaine correspondant à chaque famille</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