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r>
              <w:rPr>
                <w:rFonts w:ascii="Arial" w:hAnsi="Arial"/>
                <w:b w:val="0"/>
                <w:sz w:val="20"/>
              </w:rPr>
              <w:t>[INSERT ORGANIZATION LOGO]</w:t>
            </w:r>
          </w:p>
        </w:tc>
        <w:tc>
          <w:tcPr>
            <w:tcW w:type="dxa" w:w="5040"/>
          </w:tcPr>
          <w:p>
            <w:r/>
            <w:r>
              <w:rPr>
                <w:rFonts w:ascii="Arial" w:hAnsi="Arial"/>
                <w:b/>
                <w:sz w:val="24"/>
              </w:rPr>
              <w:t>[Organization Name]</w:t>
            </w:r>
          </w:p>
          <w:p>
            <w:r>
              <w:rPr>
                <w:rFonts w:ascii="Arial" w:hAnsi="Arial"/>
                <w:b/>
                <w:color w:val="2E5FA3"/>
                <w:sz w:val="28"/>
              </w:rPr>
              <w:t>Information Security Program Plan (SSP)</w:t>
            </w:r>
          </w:p>
        </w:tc>
      </w:tr>
    </w:tbl>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r>
      <w:tr>
        <w:tc>
          <w:tcPr>
            <w:tcW w:type="dxa" w:w="2520"/>
          </w:tcPr>
          <w:p>
            <w:r/>
            <w:r>
              <w:rPr>
                <w:rFonts w:ascii="Arial" w:hAnsi="Arial"/>
                <w:b w:val="0"/>
                <w:sz w:val="20"/>
              </w:rPr>
              <w:t>Policy Name</w:t>
            </w:r>
          </w:p>
        </w:tc>
        <w:tc>
          <w:tcPr>
            <w:tcW w:type="dxa" w:w="2520"/>
          </w:tcPr>
          <w:p>
            <w:r/>
            <w:r>
              <w:rPr>
                <w:rFonts w:ascii="Arial" w:hAnsi="Arial"/>
                <w:b w:val="0"/>
                <w:sz w:val="20"/>
              </w:rPr>
              <w:t>Information Security Program Plan (SSP)</w:t>
            </w:r>
          </w:p>
        </w:tc>
        <w:tc>
          <w:tcPr>
            <w:tcW w:type="dxa" w:w="2520"/>
          </w:tcPr>
          <w:p>
            <w:r/>
            <w:r>
              <w:rPr>
                <w:rFonts w:ascii="Arial" w:hAnsi="Arial"/>
                <w:b w:val="0"/>
                <w:sz w:val="20"/>
              </w:rPr>
              <w:t>Version</w:t>
            </w:r>
          </w:p>
        </w:tc>
        <w:tc>
          <w:tcPr>
            <w:tcW w:type="dxa" w:w="2520"/>
          </w:tcPr>
          <w:p>
            <w:r/>
            <w:r>
              <w:rPr>
                <w:rFonts w:ascii="Arial" w:hAnsi="Arial"/>
                <w:b w:val="0"/>
                <w:sz w:val="20"/>
              </w:rPr>
              <w:t>[1.0]</w:t>
            </w:r>
          </w:p>
        </w:tc>
      </w:tr>
      <w:tr>
        <w:tc>
          <w:tcPr>
            <w:tcW w:type="dxa" w:w="2520"/>
          </w:tcPr>
          <w:p>
            <w:r/>
            <w:r>
              <w:rPr>
                <w:rFonts w:ascii="Arial" w:hAnsi="Arial"/>
                <w:b w:val="0"/>
                <w:sz w:val="20"/>
              </w:rPr>
              <w:t>Policy Owner</w:t>
            </w:r>
          </w:p>
        </w:tc>
        <w:tc>
          <w:tcPr>
            <w:tcW w:type="dxa" w:w="2520"/>
          </w:tcPr>
          <w:p>
            <w:r/>
            <w:r>
              <w:rPr>
                <w:rFonts w:ascii="Arial" w:hAnsi="Arial"/>
                <w:b w:val="0"/>
                <w:sz w:val="20"/>
              </w:rPr>
              <w:t>[IT Manager / ISSO]</w:t>
            </w:r>
          </w:p>
        </w:tc>
        <w:tc>
          <w:tcPr>
            <w:tcW w:type="dxa" w:w="2520"/>
          </w:tcPr>
          <w:p>
            <w:r/>
            <w:r>
              <w:rPr>
                <w:rFonts w:ascii="Arial" w:hAnsi="Arial"/>
                <w:b w:val="0"/>
                <w:sz w:val="20"/>
              </w:rPr>
              <w:t>Approved By</w:t>
            </w:r>
          </w:p>
        </w:tc>
        <w:tc>
          <w:tcPr>
            <w:tcW w:type="dxa" w:w="2520"/>
          </w:tcPr>
          <w:p>
            <w:r/>
            <w:r>
              <w:rPr>
                <w:rFonts w:ascii="Arial" w:hAnsi="Arial"/>
                <w:b w:val="0"/>
                <w:sz w:val="20"/>
              </w:rPr>
              <w:t>[CEO / CISO]</w:t>
            </w:r>
          </w:p>
        </w:tc>
      </w:tr>
      <w:tr>
        <w:tc>
          <w:tcPr>
            <w:tcW w:type="dxa" w:w="2520"/>
          </w:tcPr>
          <w:p>
            <w:r/>
            <w:r>
              <w:rPr>
                <w:rFonts w:ascii="Arial" w:hAnsi="Arial"/>
                <w:b w:val="0"/>
                <w:sz w:val="20"/>
              </w:rPr>
              <w:t>Effective Date</w:t>
            </w:r>
          </w:p>
        </w:tc>
        <w:tc>
          <w:tcPr>
            <w:tcW w:type="dxa" w:w="2520"/>
          </w:tcPr>
          <w:p>
            <w:r/>
            <w:r>
              <w:rPr>
                <w:rFonts w:ascii="Arial" w:hAnsi="Arial"/>
                <w:b w:val="0"/>
                <w:sz w:val="20"/>
              </w:rPr>
              <w:t>[YYYY-MM-DD]</w:t>
            </w:r>
          </w:p>
        </w:tc>
        <w:tc>
          <w:tcPr>
            <w:tcW w:type="dxa" w:w="2520"/>
          </w:tcPr>
          <w:p>
            <w:r/>
            <w:r>
              <w:rPr>
                <w:rFonts w:ascii="Arial" w:hAnsi="Arial"/>
                <w:b w:val="0"/>
                <w:sz w:val="20"/>
              </w:rPr>
              <w:t>Last Reviewed</w:t>
            </w:r>
          </w:p>
        </w:tc>
        <w:tc>
          <w:tcPr>
            <w:tcW w:type="dxa" w:w="2520"/>
          </w:tcPr>
          <w:p>
            <w:r/>
            <w:r>
              <w:rPr>
                <w:rFonts w:ascii="Arial" w:hAnsi="Arial"/>
                <w:b w:val="0"/>
                <w:sz w:val="20"/>
              </w:rPr>
              <w:t>[YYYY-MM-DD]</w:t>
            </w:r>
          </w:p>
        </w:tc>
      </w:tr>
      <w:tr>
        <w:tc>
          <w:tcPr>
            <w:tcW w:type="dxa" w:w="2520"/>
          </w:tcPr>
          <w:p>
            <w:r/>
            <w:r>
              <w:rPr>
                <w:rFonts w:ascii="Arial" w:hAnsi="Arial"/>
                <w:b w:val="0"/>
                <w:sz w:val="20"/>
              </w:rPr>
              <w:t>Review Cadence</w:t>
            </w:r>
          </w:p>
        </w:tc>
        <w:tc>
          <w:tcPr>
            <w:tcW w:type="dxa" w:w="2520"/>
          </w:tcPr>
          <w:p>
            <w:r/>
            <w:r>
              <w:rPr>
                <w:rFonts w:ascii="Arial" w:hAnsi="Arial"/>
                <w:b w:val="0"/>
                <w:sz w:val="20"/>
              </w:rPr>
              <w:t>Annual (or upon major change)</w:t>
            </w:r>
          </w:p>
        </w:tc>
        <w:tc>
          <w:tcPr>
            <w:tcW w:type="dxa" w:w="2520"/>
          </w:tcPr>
          <w:p>
            <w:r/>
            <w:r>
              <w:rPr>
                <w:rFonts w:ascii="Arial" w:hAnsi="Arial"/>
                <w:b w:val="0"/>
                <w:sz w:val="20"/>
              </w:rPr>
              <w:t>Classification</w:t>
            </w:r>
          </w:p>
        </w:tc>
        <w:tc>
          <w:tcPr>
            <w:tcW w:type="dxa" w:w="2520"/>
          </w:tcPr>
          <w:p>
            <w:r/>
            <w:r>
              <w:rPr>
                <w:rFonts w:ascii="Arial" w:hAnsi="Arial"/>
                <w:b w:val="0"/>
                <w:sz w:val="20"/>
              </w:rPr>
              <w:t>[CUI / Internal]</w:t>
            </w:r>
          </w:p>
        </w:tc>
      </w:tr>
    </w:tbl>
    <w:p/>
    <w:p>
      <w:pPr>
        <w:spacing w:before="200" w:after="80"/>
      </w:pPr>
      <w:r>
        <w:rPr>
          <w:rFonts w:ascii="Arial" w:hAnsi="Arial"/>
          <w:b/>
          <w:color w:val="2E5FA3"/>
          <w:sz w:val="26"/>
        </w:rPr>
        <w:t>1.  Purpose</w:t>
      </w:r>
    </w:p>
    <w:p>
      <w:r>
        <w:rPr>
          <w:rFonts w:ascii="Arial" w:hAnsi="Arial"/>
          <w:sz w:val="21"/>
        </w:rPr>
        <w:t>This document establishes [Organization Name]'s information security program and serves as the foundation for its System Security Plan (SSP). It describes the system boundary, the Controlled Unclassified Information (CUI) environment, how security controls are implemented, and how the program is planned, resourced, and governed. The SSP is the authoritative reference auditors use to understand the environment and verify control implementation.</w:t>
      </w:r>
    </w:p>
    <w:p>
      <w:pPr>
        <w:spacing w:before="200" w:after="80"/>
      </w:pPr>
      <w:r>
        <w:rPr>
          <w:rFonts w:ascii="Arial" w:hAnsi="Arial"/>
          <w:b/>
          <w:color w:val="2E5FA3"/>
          <w:sz w:val="26"/>
        </w:rPr>
        <w:t>2.  Scope</w:t>
      </w:r>
    </w:p>
    <w:p>
      <w:r>
        <w:rPr>
          <w:rFonts w:ascii="Arial" w:hAnsi="Arial"/>
          <w:sz w:val="21"/>
        </w:rPr>
        <w:t>This policy applies to:</w:t>
      </w:r>
    </w:p>
    <w:p>
      <w:pPr>
        <w:ind w:left="360"/>
      </w:pPr>
      <w:r>
        <w:rPr>
          <w:rFonts w:ascii="Arial" w:hAnsi="Arial"/>
          <w:sz w:val="21"/>
        </w:rPr>
        <w:t>•  The defined system boundary that processes, stores, or transmits CUI, including components, data flows, and connections.</w:t>
      </w:r>
    </w:p>
    <w:p>
      <w:pPr>
        <w:ind w:left="360"/>
      </w:pPr>
      <w:r>
        <w:rPr>
          <w:rFonts w:ascii="Arial" w:hAnsi="Arial"/>
          <w:sz w:val="21"/>
        </w:rPr>
        <w:t>•  The security program governance, roles, and planning that support control implementation.</w:t>
      </w:r>
    </w:p>
    <w:p>
      <w:pPr>
        <w:ind w:left="360"/>
      </w:pPr>
      <w:r>
        <w:rPr>
          <w:rFonts w:ascii="Arial" w:hAnsi="Arial"/>
          <w:sz w:val="21"/>
        </w:rPr>
        <w:t>•  All personnel and third parties operating within the boundary.</w:t>
      </w:r>
    </w:p>
    <w:p>
      <w:r>
        <w:rPr>
          <w:rFonts w:ascii="Arial" w:hAnsi="Arial"/>
          <w:sz w:val="21"/>
        </w:rPr>
        <w:t>Where CUI is involved, the requirements in this policy are mandatory and supersede convenience or operational preferences.</w:t>
      </w:r>
    </w:p>
    <w:p>
      <w:pPr>
        <w:spacing w:before="200" w:after="80"/>
      </w:pPr>
      <w:r>
        <w:rPr>
          <w:rFonts w:ascii="Arial" w:hAnsi="Arial"/>
          <w:b/>
          <w:color w:val="2E5FA3"/>
          <w:sz w:val="26"/>
        </w:rPr>
        <w:t>3.  Definitions</w:t>
      </w:r>
    </w:p>
    <w:p>
      <w:r>
        <w:rPr>
          <w:rFonts w:ascii="Arial" w:hAnsi="Arial"/>
          <w:b/>
          <w:sz w:val="21"/>
        </w:rPr>
        <w:t xml:space="preserve">System Security Plan (SSP): </w:t>
      </w:r>
      <w:r>
        <w:rPr>
          <w:rFonts w:ascii="Arial" w:hAnsi="Arial"/>
          <w:sz w:val="21"/>
        </w:rPr>
        <w:t>The authoritative document describing the system, its boundary, and how each security control is implemented.</w:t>
      </w:r>
    </w:p>
    <w:p>
      <w:r>
        <w:rPr>
          <w:rFonts w:ascii="Arial" w:hAnsi="Arial"/>
          <w:b/>
          <w:sz w:val="21"/>
        </w:rPr>
        <w:t xml:space="preserve">System Boundary: </w:t>
      </w:r>
      <w:r>
        <w:rPr>
          <w:rFonts w:ascii="Arial" w:hAnsi="Arial"/>
          <w:sz w:val="21"/>
        </w:rPr>
        <w:t>The set of components that make up the system and its authorization scope.</w:t>
      </w:r>
    </w:p>
    <w:p>
      <w:r>
        <w:rPr>
          <w:rFonts w:ascii="Arial" w:hAnsi="Arial"/>
          <w:b/>
          <w:sz w:val="21"/>
        </w:rPr>
        <w:t xml:space="preserve">Rules of Behavior: </w:t>
      </w:r>
      <w:r>
        <w:rPr>
          <w:rFonts w:ascii="Arial" w:hAnsi="Arial"/>
          <w:sz w:val="21"/>
        </w:rPr>
        <w:t>The documented rules users agree to follow when accessing the system.</w:t>
      </w:r>
    </w:p>
    <w:p>
      <w:r>
        <w:rPr>
          <w:rFonts w:ascii="Arial" w:hAnsi="Arial"/>
          <w:b/>
          <w:sz w:val="21"/>
        </w:rPr>
        <w:t xml:space="preserve">Security Program: </w:t>
      </w:r>
      <w:r>
        <w:rPr>
          <w:rFonts w:ascii="Arial" w:hAnsi="Arial"/>
          <w:sz w:val="21"/>
        </w:rPr>
        <w:t>The organized set of policies, roles, resources, and activities that protect information.</w:t>
      </w:r>
    </w:p>
    <w:p>
      <w:pPr>
        <w:spacing w:before="200" w:after="80"/>
      </w:pPr>
      <w:r>
        <w:rPr>
          <w:rFonts w:ascii="Arial" w:hAnsi="Arial"/>
          <w:b/>
          <w:color w:val="2E5FA3"/>
          <w:sz w:val="26"/>
        </w:rPr>
        <w:t>4.  Roles &amp; Responsibilities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shd w:val="clear" w:color="auto" w:fill="1B3A6B"/>
          </w:tcPr>
          <w:p>
            <w:r/>
            <w:r>
              <w:rPr>
                <w:rFonts w:ascii="Arial" w:hAnsi="Arial"/>
                <w:b/>
                <w:color w:val="FFFFFF"/>
                <w:sz w:val="20"/>
              </w:rPr>
              <w:t>Role</w:t>
            </w:r>
          </w:p>
        </w:tc>
        <w:tc>
          <w:tcPr>
            <w:tcW w:type="dxa" w:w="5040"/>
            <w:shd w:val="clear" w:color="auto" w:fill="1B3A6B"/>
          </w:tcPr>
          <w:p>
            <w:r/>
            <w:r>
              <w:rPr>
                <w:rFonts w:ascii="Arial" w:hAnsi="Arial"/>
                <w:b/>
                <w:color w:val="FFFFFF"/>
                <w:sz w:val="20"/>
              </w:rPr>
              <w:t>Key Responsibilities</w:t>
            </w:r>
          </w:p>
        </w:tc>
      </w:tr>
      <w:tr>
        <w:tc>
          <w:tcPr>
            <w:tcW w:type="dxa" w:w="5040"/>
          </w:tcPr>
          <w:p>
            <w:r/>
            <w:r>
              <w:rPr>
                <w:rFonts w:ascii="Arial" w:hAnsi="Arial"/>
                <w:b w:val="0"/>
                <w:sz w:val="20"/>
              </w:rPr>
              <w:t>[IT Manager / ISSO]</w:t>
            </w:r>
          </w:p>
        </w:tc>
        <w:tc>
          <w:tcPr>
            <w:tcW w:type="dxa" w:w="5040"/>
          </w:tcPr>
          <w:p>
            <w:r/>
            <w:r>
              <w:rPr>
                <w:rFonts w:ascii="Arial" w:hAnsi="Arial"/>
                <w:b w:val="0"/>
                <w:sz w:val="20"/>
              </w:rPr>
              <w:t>Own the security program and SSP; keep the boundary and control implementation current; coordinate assessments.</w:t>
            </w:r>
          </w:p>
        </w:tc>
      </w:tr>
      <w:tr>
        <w:tc>
          <w:tcPr>
            <w:tcW w:type="dxa" w:w="5040"/>
          </w:tcPr>
          <w:p>
            <w:r/>
            <w:r>
              <w:rPr>
                <w:rFonts w:ascii="Arial" w:hAnsi="Arial"/>
                <w:b w:val="0"/>
                <w:sz w:val="20"/>
              </w:rPr>
              <w:t>[System Administrator]</w:t>
            </w:r>
          </w:p>
        </w:tc>
        <w:tc>
          <w:tcPr>
            <w:tcW w:type="dxa" w:w="5040"/>
          </w:tcPr>
          <w:p>
            <w:r/>
            <w:r>
              <w:rPr>
                <w:rFonts w:ascii="Arial" w:hAnsi="Arial"/>
                <w:b w:val="0"/>
                <w:sz w:val="20"/>
              </w:rPr>
              <w:t>Maintain the component inventory and data-flow documentation; implement controls described in the SSP.</w:t>
            </w:r>
          </w:p>
        </w:tc>
      </w:tr>
      <w:tr>
        <w:tc>
          <w:tcPr>
            <w:tcW w:type="dxa" w:w="5040"/>
          </w:tcPr>
          <w:p>
            <w:r/>
            <w:r>
              <w:rPr>
                <w:rFonts w:ascii="Arial" w:hAnsi="Arial"/>
                <w:b w:val="0"/>
                <w:sz w:val="20"/>
              </w:rPr>
              <w:t>[Senior Leadership / CISO]</w:t>
            </w:r>
          </w:p>
        </w:tc>
        <w:tc>
          <w:tcPr>
            <w:tcW w:type="dxa" w:w="5040"/>
          </w:tcPr>
          <w:p>
            <w:r/>
            <w:r>
              <w:rPr>
                <w:rFonts w:ascii="Arial" w:hAnsi="Arial"/>
                <w:b w:val="0"/>
                <w:sz w:val="20"/>
              </w:rPr>
              <w:t>Approve the program and SSP; provide resources; accept residual risk.</w:t>
            </w:r>
          </w:p>
        </w:tc>
      </w:tr>
      <w:tr>
        <w:tc>
          <w:tcPr>
            <w:tcW w:type="dxa" w:w="5040"/>
          </w:tcPr>
          <w:p>
            <w:r/>
            <w:r>
              <w:rPr>
                <w:rFonts w:ascii="Arial" w:hAnsi="Arial"/>
                <w:b w:val="0"/>
                <w:sz w:val="20"/>
              </w:rPr>
              <w:t>All Users</w:t>
            </w:r>
          </w:p>
        </w:tc>
        <w:tc>
          <w:tcPr>
            <w:tcW w:type="dxa" w:w="5040"/>
          </w:tcPr>
          <w:p>
            <w:r/>
            <w:r>
              <w:rPr>
                <w:rFonts w:ascii="Arial" w:hAnsi="Arial"/>
                <w:b w:val="0"/>
                <w:sz w:val="20"/>
              </w:rPr>
              <w:t>Acknowledge and follow the rules of behavior.</w:t>
            </w:r>
          </w:p>
        </w:tc>
      </w:tr>
    </w:tbl>
    <w:p/>
    <w:p>
      <w:pPr>
        <w:spacing w:before="200" w:after="80"/>
      </w:pPr>
      <w:r>
        <w:rPr>
          <w:rFonts w:ascii="Arial" w:hAnsi="Arial"/>
          <w:b/>
          <w:color w:val="2E5FA3"/>
          <w:sz w:val="26"/>
        </w:rPr>
        <w:t>5.  Policy Statements</w:t>
      </w:r>
    </w:p>
    <w:p>
      <w:r>
        <w:rPr>
          <w:rFonts w:ascii="Arial" w:hAnsi="Arial"/>
          <w:b/>
          <w:color w:val="2E5FA3"/>
          <w:sz w:val="21"/>
        </w:rPr>
        <w:t>PS-1  Policies &amp; Procedures</w:t>
      </w:r>
    </w:p>
    <w:p>
      <w:r>
        <w:rPr>
          <w:rFonts w:ascii="Arial" w:hAnsi="Arial"/>
          <w:sz w:val="21"/>
        </w:rPr>
        <w:t>[Organization Name] must establish, maintain, and disseminate the security policies and procedures required to protect CUI, and review them at least [annually].</w:t>
      </w:r>
    </w:p>
    <w:p>
      <w:r>
        <w:rPr>
          <w:rFonts w:ascii="Arial" w:hAnsi="Arial"/>
          <w:b/>
          <w:color w:val="2E5FA3"/>
          <w:sz w:val="21"/>
        </w:rPr>
        <w:t>PS-2  System Security Plan</w:t>
      </w:r>
    </w:p>
    <w:p>
      <w:r>
        <w:rPr>
          <w:rFonts w:ascii="Arial" w:hAnsi="Arial"/>
          <w:sz w:val="21"/>
        </w:rPr>
        <w:t>A System Security Plan must be developed and maintained that describes the system boundary, environment, CUI categories, interconnections, and how each required control is implemented; it must be reviewed and updated on a defined cadence and after significant change.</w:t>
      </w:r>
    </w:p>
    <w:p>
      <w:r>
        <w:rPr>
          <w:rFonts w:ascii="Arial" w:hAnsi="Arial"/>
          <w:b/>
          <w:color w:val="2E5FA3"/>
          <w:sz w:val="21"/>
        </w:rPr>
        <w:t>PS-3  Boundary &amp; Inventory</w:t>
      </w:r>
    </w:p>
    <w:p>
      <w:r>
        <w:rPr>
          <w:rFonts w:ascii="Arial" w:hAnsi="Arial"/>
          <w:sz w:val="21"/>
        </w:rPr>
        <w:t>The system boundary, component inventory, and data flows for CUI must be documented and kept current.</w:t>
      </w:r>
    </w:p>
    <w:p>
      <w:r>
        <w:rPr>
          <w:rFonts w:ascii="Arial" w:hAnsi="Arial"/>
          <w:b/>
          <w:color w:val="2E5FA3"/>
          <w:sz w:val="21"/>
        </w:rPr>
        <w:t>PS-4  Rules of Behavior</w:t>
      </w:r>
    </w:p>
    <w:p>
      <w:r>
        <w:rPr>
          <w:rFonts w:ascii="Arial" w:hAnsi="Arial"/>
          <w:sz w:val="21"/>
        </w:rPr>
        <w:t>Rules of behavior for users (including for CUI handling) must be documented, acknowledged before access, and re-acknowledged periodically.</w:t>
      </w:r>
    </w:p>
    <w:p>
      <w:r>
        <w:rPr>
          <w:rFonts w:ascii="Arial" w:hAnsi="Arial"/>
          <w:b/>
          <w:color w:val="2E5FA3"/>
          <w:sz w:val="21"/>
        </w:rPr>
        <w:t>PS-5  Program Governance &amp; Resourcing</w:t>
      </w:r>
    </w:p>
    <w:p>
      <w:r>
        <w:rPr>
          <w:rFonts w:ascii="Arial" w:hAnsi="Arial"/>
          <w:sz w:val="21"/>
        </w:rPr>
        <w:t>Security roles must be assigned, and the program adequately resourced; the SSP must reference the supporting policies (Access Control, Audit, etc.).</w:t>
      </w:r>
    </w:p>
    <w:p>
      <w:r>
        <w:rPr>
          <w:rFonts w:ascii="Arial" w:hAnsi="Arial"/>
          <w:b/>
          <w:color w:val="2E5FA3"/>
          <w:sz w:val="21"/>
        </w:rPr>
        <w:t>PS-6  Plan of Action &amp; Milestones</w:t>
      </w:r>
    </w:p>
    <w:p>
      <w:r>
        <w:rPr>
          <w:rFonts w:ascii="Arial" w:hAnsi="Arial"/>
          <w:sz w:val="21"/>
        </w:rPr>
        <w:t>Gaps in control implementation must be tracked in a POA&amp;M associated with the SSP.</w:t>
      </w:r>
    </w:p>
    <w:p>
      <w:pPr>
        <w:spacing w:before="200" w:after="80"/>
      </w:pPr>
      <w:r>
        <w:rPr>
          <w:rFonts w:ascii="Arial" w:hAnsi="Arial"/>
          <w:b/>
          <w:color w:val="2E5FA3"/>
          <w:sz w:val="26"/>
        </w:rPr>
        <w:t>6.  Procedures &amp; Audit Evidence</w:t>
      </w:r>
    </w:p>
    <w:p>
      <w:r>
        <w:rPr>
          <w:rFonts w:ascii="Arial" w:hAnsi="Arial"/>
          <w:sz w:val="21"/>
        </w:rPr>
        <w:t>6.1  Maintain the SSP</w:t>
      </w:r>
    </w:p>
    <w:p>
      <w:pPr>
        <w:ind w:left="360"/>
      </w:pPr>
      <w:r>
        <w:rPr>
          <w:rFonts w:ascii="Arial" w:hAnsi="Arial"/>
          <w:sz w:val="21"/>
        </w:rPr>
        <w:t>•  Document the boundary, inventory, CUI categories, interconnections, and control implementation.</w:t>
      </w:r>
    </w:p>
    <w:p>
      <w:pPr>
        <w:ind w:left="360"/>
      </w:pPr>
      <w:r>
        <w:rPr>
          <w:rFonts w:ascii="Arial" w:hAnsi="Arial"/>
          <w:sz w:val="21"/>
        </w:rPr>
        <w:t>•  Review/update on cadence and after significant change.</w:t>
      </w:r>
    </w:p>
    <w:p>
      <w:r>
        <w:rPr>
          <w:rFonts w:ascii="Arial" w:hAnsi="Arial"/>
          <w:b/>
          <w:sz w:val="21"/>
        </w:rPr>
        <w:t xml:space="preserve">Audit evidence: </w:t>
      </w:r>
      <w:r>
        <w:rPr>
          <w:rFonts w:ascii="Arial" w:hAnsi="Arial"/>
          <w:sz w:val="21"/>
        </w:rPr>
        <w:t>Current SSP (dated); boundary/inventory/data-flow documentation.</w:t>
      </w:r>
    </w:p>
    <w:p>
      <w:r>
        <w:rPr>
          <w:rFonts w:ascii="Arial" w:hAnsi="Arial"/>
          <w:sz w:val="21"/>
        </w:rPr>
        <w:t>6.2  Governance</w:t>
      </w:r>
    </w:p>
    <w:p>
      <w:pPr>
        <w:ind w:left="360"/>
      </w:pPr>
      <w:r>
        <w:rPr>
          <w:rFonts w:ascii="Arial" w:hAnsi="Arial"/>
          <w:sz w:val="21"/>
        </w:rPr>
        <w:t>•  Maintain and disseminate policies; assign security roles.</w:t>
      </w:r>
    </w:p>
    <w:p>
      <w:pPr>
        <w:ind w:left="360"/>
      </w:pPr>
      <w:r>
        <w:rPr>
          <w:rFonts w:ascii="Arial" w:hAnsi="Arial"/>
          <w:sz w:val="21"/>
        </w:rPr>
        <w:t>•  Obtain rules-of-behavior acknowledgments; track gaps in the POA&amp;M.</w:t>
      </w:r>
    </w:p>
    <w:p>
      <w:r>
        <w:rPr>
          <w:rFonts w:ascii="Arial" w:hAnsi="Arial"/>
          <w:b/>
          <w:sz w:val="21"/>
        </w:rPr>
        <w:t xml:space="preserve">Audit evidence: </w:t>
      </w:r>
      <w:r>
        <w:rPr>
          <w:rFonts w:ascii="Arial" w:hAnsi="Arial"/>
          <w:sz w:val="21"/>
        </w:rPr>
        <w:t>Policy set (dated); role assignments; signed rules of behavior; POA&amp;M.</w:t>
      </w:r>
    </w:p>
    <w:p>
      <w:pPr>
        <w:spacing w:before="200" w:after="80"/>
      </w:pPr>
      <w:r>
        <w:rPr>
          <w:rFonts w:ascii="Arial" w:hAnsi="Arial"/>
          <w:b/>
          <w:color w:val="2E5FA3"/>
          <w:sz w:val="26"/>
        </w:rPr>
        <w:t>7.  Compliance, Monitoring &amp; Enforcement</w:t>
      </w:r>
    </w:p>
    <w:p>
      <w:r>
        <w:rPr>
          <w:rFonts w:ascii="Arial" w:hAnsi="Arial"/>
          <w:sz w:val="21"/>
        </w:rPr>
        <w:t>The [IT Manager / ISSO] shall review compliance with this policy at least [quarterly] by verifying the SSP is current and complete, policies are maintained and disseminated, rules of behavior are acknowledged, and gaps are tracked in the POA&amp;M. Results shall be reported to [Senior Leadership / CISO].</w:t>
      </w:r>
    </w:p>
    <w:p>
      <w:r>
        <w:rPr>
          <w:rFonts w:ascii="Arial" w:hAnsi="Arial"/>
          <w:sz w:val="21"/>
        </w:rPr>
        <w:t>Violations may result in:</w:t>
      </w:r>
    </w:p>
    <w:p>
      <w:pPr>
        <w:ind w:left="360"/>
      </w:pPr>
      <w:r>
        <w:rPr>
          <w:rFonts w:ascii="Arial" w:hAnsi="Arial"/>
          <w:sz w:val="21"/>
        </w:rPr>
        <w:t>•  Remediation of the deficiency within a timeframe set by the policy owner based on risk.</w:t>
      </w:r>
    </w:p>
    <w:p>
      <w:pPr>
        <w:ind w:left="360"/>
      </w:pPr>
      <w:r>
        <w:rPr>
          <w:rFonts w:ascii="Arial" w:hAnsi="Arial"/>
          <w:sz w:val="21"/>
        </w:rPr>
        <w:t>•  Disciplinary action up to and including termination of employment or contract, consistent with [Organization Name]'s disciplinary procedures.</w:t>
      </w:r>
    </w:p>
    <w:p>
      <w:pPr>
        <w:ind w:left="360"/>
      </w:pPr>
      <w:r>
        <w:rPr>
          <w:rFonts w:ascii="Arial" w:hAnsi="Arial"/>
          <w:sz w:val="21"/>
        </w:rPr>
        <w:t>•  Referral to law enforcement and notification to government contracting officers where CUI or criminal activity is involved, as required by the applicable contract or regulation.</w:t>
      </w:r>
    </w:p>
    <w:p>
      <w:pPr>
        <w:spacing w:before="200" w:after="80"/>
      </w:pPr>
      <w:r>
        <w:rPr>
          <w:rFonts w:ascii="Arial" w:hAnsi="Arial"/>
          <w:b/>
          <w:color w:val="2E5FA3"/>
          <w:sz w:val="26"/>
        </w:rPr>
        <w:t>8.  Exceptions</w:t>
      </w:r>
    </w:p>
    <w:p>
      <w:r>
        <w:rPr>
          <w:rFonts w:ascii="Arial" w:hAnsi="Arial"/>
          <w:sz w:val="21"/>
        </w:rPr>
        <w:t>Exceptions to this policy must be rare. To request one:</w:t>
      </w:r>
    </w:p>
    <w:p>
      <w:pPr>
        <w:ind w:left="360"/>
      </w:pPr>
      <w:r>
        <w:rPr>
          <w:rFonts w:ascii="Arial" w:hAnsi="Arial"/>
          <w:sz w:val="21"/>
        </w:rPr>
        <w:t>•  The requester submits a written exception to the policy owner describing the requirement that cannot be met, the business justification, the risk introduced, and proposed compensating controls.</w:t>
      </w:r>
    </w:p>
    <w:p>
      <w:pPr>
        <w:ind w:left="360"/>
      </w:pPr>
      <w:r>
        <w:rPr>
          <w:rFonts w:ascii="Arial" w:hAnsi="Arial"/>
          <w:sz w:val="21"/>
        </w:rPr>
        <w:t>•  The policy owner assesses the risk and prepares a recommendation; [Senior Leadership / CISO] approves or denies the exception in writing.</w:t>
      </w:r>
    </w:p>
    <w:p>
      <w:pPr>
        <w:ind w:left="360"/>
      </w:pPr>
      <w:r>
        <w:rPr>
          <w:rFonts w:ascii="Arial" w:hAnsi="Arial"/>
          <w:sz w:val="21"/>
        </w:rPr>
        <w:t>•  Approved exceptions are logged in the Exception Register with an expiry of no more than [organization-defined: 12 months; recommended: 12 months], reviewed upon expiry, and reflected as a plan of action and milestones (POA&amp;M) item in the SSP where CUI systems are affected.</w:t>
      </w:r>
    </w:p>
    <w:p>
      <w:pPr>
        <w:spacing w:before="200" w:after="80"/>
      </w:pPr>
      <w:r>
        <w:rPr>
          <w:rFonts w:ascii="Arial" w:hAnsi="Arial"/>
          <w:b/>
          <w:color w:val="2E5FA3"/>
          <w:sz w:val="26"/>
        </w:rPr>
        <w:t>9.  Related Documents</w:t>
      </w:r>
    </w:p>
    <w:p>
      <w:pPr>
        <w:ind w:left="360"/>
      </w:pPr>
      <w:r>
        <w:rPr>
          <w:rFonts w:ascii="Arial" w:hAnsi="Arial"/>
          <w:sz w:val="21"/>
        </w:rPr>
        <w:t>•  All policies in this set — referenced by the SSP for control implementation.</w:t>
      </w:r>
    </w:p>
    <w:p>
      <w:pPr>
        <w:ind w:left="360"/>
      </w:pPr>
      <w:r>
        <w:rPr>
          <w:rFonts w:ascii="Arial" w:hAnsi="Arial"/>
          <w:sz w:val="21"/>
        </w:rPr>
        <w:t>•  Security Assessment &amp; Continuous Monitoring Policy — assessment and POA&amp;M.</w:t>
      </w:r>
    </w:p>
    <w:p>
      <w:pPr>
        <w:ind w:left="360"/>
      </w:pPr>
      <w:r>
        <w:rPr>
          <w:rFonts w:ascii="Arial" w:hAnsi="Arial"/>
          <w:sz w:val="21"/>
        </w:rPr>
        <w:t>•  Risk Assessment Policy — risk inputs to the program.</w:t>
      </w:r>
    </w:p>
    <w:p>
      <w:pPr>
        <w:ind w:left="360"/>
      </w:pPr>
      <w:r>
        <w:rPr>
          <w:rFonts w:ascii="Arial" w:hAnsi="Arial"/>
          <w:sz w:val="21"/>
        </w:rPr>
        <w:t>•  Configuration Management Policy — component inventory and boundary.</w:t>
      </w:r>
    </w:p>
    <w:p>
      <w:pPr>
        <w:spacing w:before="200" w:after="80"/>
      </w:pPr>
      <w:r>
        <w:rPr>
          <w:rFonts w:ascii="Arial" w:hAnsi="Arial"/>
          <w:b/>
          <w:color w:val="2E5FA3"/>
          <w:sz w:val="26"/>
        </w:rPr>
        <w:t>10.  Control Mapping</w:t>
      </w:r>
    </w:p>
    <w:p>
      <w:r>
        <w:rPr>
          <w:rFonts w:ascii="Arial" w:hAnsi="Arial"/>
          <w:sz w:val="21"/>
        </w:rPr>
        <w:t>The table below maps each required control to the policy statement(s) that satisfy it and the evidence an auditor will seek. Control IDs are from NIST SP 800-171 Rev 3 (family 03.15 — Planning); they are equally applicable to CMMC 2.0 Level 2 and ITSP.10.171 (CPCSC).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shd w:val="clear" w:color="auto" w:fill="1B3A6B"/>
          </w:tcPr>
          <w:p>
            <w:r/>
            <w:r>
              <w:rPr>
                <w:rFonts w:ascii="Arial" w:hAnsi="Arial"/>
                <w:b/>
                <w:color w:val="FFFFFF"/>
                <w:sz w:val="20"/>
              </w:rPr>
              <w:t>Control ID</w:t>
            </w:r>
          </w:p>
        </w:tc>
        <w:tc>
          <w:tcPr>
            <w:tcW w:type="dxa" w:w="3360"/>
            <w:shd w:val="clear" w:color="auto" w:fill="1B3A6B"/>
          </w:tcPr>
          <w:p>
            <w:r/>
            <w:r>
              <w:rPr>
                <w:rFonts w:ascii="Arial" w:hAnsi="Arial"/>
                <w:b/>
                <w:color w:val="FFFFFF"/>
                <w:sz w:val="20"/>
              </w:rPr>
              <w:t>Policy Statement(s)</w:t>
            </w:r>
          </w:p>
        </w:tc>
        <w:tc>
          <w:tcPr>
            <w:tcW w:type="dxa" w:w="3360"/>
            <w:shd w:val="clear" w:color="auto" w:fill="1B3A6B"/>
          </w:tcPr>
          <w:p>
            <w:r/>
            <w:r>
              <w:rPr>
                <w:rFonts w:ascii="Arial" w:hAnsi="Arial"/>
                <w:b/>
                <w:color w:val="FFFFFF"/>
                <w:sz w:val="20"/>
              </w:rPr>
              <w:t>Expected Audit Evidence</w:t>
            </w:r>
          </w:p>
        </w:tc>
      </w:tr>
      <w:tr>
        <w:tc>
          <w:tcPr>
            <w:tcW w:type="dxa" w:w="3360"/>
          </w:tcPr>
          <w:p>
            <w:r/>
            <w:r>
              <w:rPr>
                <w:rFonts w:ascii="Arial" w:hAnsi="Arial"/>
                <w:b w:val="0"/>
                <w:sz w:val="20"/>
              </w:rPr>
              <w:t>03.15.01  Policy and Procedures</w:t>
            </w:r>
          </w:p>
        </w:tc>
        <w:tc>
          <w:tcPr>
            <w:tcW w:type="dxa" w:w="3360"/>
          </w:tcPr>
          <w:p>
            <w:r/>
            <w:r>
              <w:rPr>
                <w:rFonts w:ascii="Arial" w:hAnsi="Arial"/>
                <w:b w:val="0"/>
                <w:sz w:val="20"/>
              </w:rPr>
              <w:t>PS-1, PS-5 — policies maintained and disseminated</w:t>
            </w:r>
          </w:p>
        </w:tc>
        <w:tc>
          <w:tcPr>
            <w:tcW w:type="dxa" w:w="3360"/>
          </w:tcPr>
          <w:p>
            <w:r/>
            <w:r>
              <w:rPr>
                <w:rFonts w:ascii="Arial" w:hAnsi="Arial"/>
                <w:b w:val="0"/>
                <w:sz w:val="20"/>
              </w:rPr>
              <w:t>Policy set (dated); dissemination evidence</w:t>
            </w:r>
          </w:p>
        </w:tc>
      </w:tr>
      <w:tr>
        <w:tc>
          <w:tcPr>
            <w:tcW w:type="dxa" w:w="3360"/>
          </w:tcPr>
          <w:p>
            <w:r/>
            <w:r>
              <w:rPr>
                <w:rFonts w:ascii="Arial" w:hAnsi="Arial"/>
                <w:b w:val="0"/>
                <w:sz w:val="20"/>
              </w:rPr>
              <w:t>03.15.02  System Security Plan</w:t>
            </w:r>
          </w:p>
        </w:tc>
        <w:tc>
          <w:tcPr>
            <w:tcW w:type="dxa" w:w="3360"/>
          </w:tcPr>
          <w:p>
            <w:r/>
            <w:r>
              <w:rPr>
                <w:rFonts w:ascii="Arial" w:hAnsi="Arial"/>
                <w:b w:val="0"/>
                <w:sz w:val="20"/>
              </w:rPr>
              <w:t>PS-2, PS-3, PS-6 — SSP, boundary, POA&amp;M</w:t>
            </w:r>
          </w:p>
        </w:tc>
        <w:tc>
          <w:tcPr>
            <w:tcW w:type="dxa" w:w="3360"/>
          </w:tcPr>
          <w:p>
            <w:r/>
            <w:r>
              <w:rPr>
                <w:rFonts w:ascii="Arial" w:hAnsi="Arial"/>
                <w:b w:val="0"/>
                <w:sz w:val="20"/>
              </w:rPr>
              <w:t>Current SSP; boundary/inventory; POA&amp;M</w:t>
            </w:r>
          </w:p>
        </w:tc>
      </w:tr>
      <w:tr>
        <w:tc>
          <w:tcPr>
            <w:tcW w:type="dxa" w:w="3360"/>
          </w:tcPr>
          <w:p>
            <w:r/>
            <w:r>
              <w:rPr>
                <w:rFonts w:ascii="Arial" w:hAnsi="Arial"/>
                <w:b w:val="0"/>
                <w:sz w:val="20"/>
              </w:rPr>
              <w:t>03.15.03  Rules of Behavior</w:t>
            </w:r>
          </w:p>
        </w:tc>
        <w:tc>
          <w:tcPr>
            <w:tcW w:type="dxa" w:w="3360"/>
          </w:tcPr>
          <w:p>
            <w:r/>
            <w:r>
              <w:rPr>
                <w:rFonts w:ascii="Arial" w:hAnsi="Arial"/>
                <w:b w:val="0"/>
                <w:sz w:val="20"/>
              </w:rPr>
              <w:t>PS-4 — documented, acknowledged rules</w:t>
            </w:r>
          </w:p>
        </w:tc>
        <w:tc>
          <w:tcPr>
            <w:tcW w:type="dxa" w:w="3360"/>
          </w:tcPr>
          <w:p>
            <w:r/>
            <w:r>
              <w:rPr>
                <w:rFonts w:ascii="Arial" w:hAnsi="Arial"/>
                <w:b w:val="0"/>
                <w:sz w:val="20"/>
              </w:rPr>
              <w:t>Signed rules of behavior</w:t>
            </w:r>
          </w:p>
        </w:tc>
      </w:tr>
    </w:tbl>
    <w:p/>
    <w:p>
      <w:pPr>
        <w:spacing w:before="200" w:after="80"/>
      </w:pPr>
      <w:r>
        <w:rPr>
          <w:rFonts w:ascii="Arial" w:hAnsi="Arial"/>
          <w:b/>
          <w:color w:val="2E5FA3"/>
          <w:sz w:val="26"/>
        </w:rPr>
        <w:t>11.  Revision History</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Version</w:t>
            </w:r>
          </w:p>
        </w:tc>
        <w:tc>
          <w:tcPr>
            <w:tcW w:type="dxa" w:w="2520"/>
            <w:shd w:val="clear" w:color="auto" w:fill="1B3A6B"/>
          </w:tcPr>
          <w:p>
            <w:r/>
            <w:r>
              <w:rPr>
                <w:rFonts w:ascii="Arial" w:hAnsi="Arial"/>
                <w:b/>
                <w:color w:val="FFFFFF"/>
                <w:sz w:val="20"/>
              </w:rPr>
              <w:t>Date</w:t>
            </w:r>
          </w:p>
        </w:tc>
        <w:tc>
          <w:tcPr>
            <w:tcW w:type="dxa" w:w="2520"/>
            <w:shd w:val="clear" w:color="auto" w:fill="1B3A6B"/>
          </w:tcPr>
          <w:p>
            <w:r/>
            <w:r>
              <w:rPr>
                <w:rFonts w:ascii="Arial" w:hAnsi="Arial"/>
                <w:b/>
                <w:color w:val="FFFFFF"/>
                <w:sz w:val="20"/>
              </w:rPr>
              <w:t>Author / Role</w:t>
            </w:r>
          </w:p>
        </w:tc>
        <w:tc>
          <w:tcPr>
            <w:tcW w:type="dxa" w:w="2520"/>
            <w:shd w:val="clear" w:color="auto" w:fill="1B3A6B"/>
          </w:tcPr>
          <w:p>
            <w:r/>
            <w:r>
              <w:rPr>
                <w:rFonts w:ascii="Arial" w:hAnsi="Arial"/>
                <w:b/>
                <w:color w:val="FFFFFF"/>
                <w:sz w:val="20"/>
              </w:rPr>
              <w:t>Summary of Changes</w:t>
            </w:r>
          </w:p>
        </w:tc>
      </w:tr>
      <w:tr>
        <w:tc>
          <w:tcPr>
            <w:tcW w:type="dxa" w:w="2520"/>
          </w:tcPr>
          <w:p>
            <w:r/>
            <w:r>
              <w:rPr>
                <w:rFonts w:ascii="Arial" w:hAnsi="Arial"/>
                <w:b w:val="0"/>
                <w:sz w:val="20"/>
              </w:rPr>
              <w:t>1.0</w:t>
            </w:r>
          </w:p>
        </w:tc>
        <w:tc>
          <w:tcPr>
            <w:tcW w:type="dxa" w:w="2520"/>
          </w:tcPr>
          <w:p>
            <w:r/>
            <w:r>
              <w:rPr>
                <w:rFonts w:ascii="Arial" w:hAnsi="Arial"/>
                <w:b w:val="0"/>
                <w:sz w:val="20"/>
              </w:rPr>
              <w:t>[YYYY-MM-DD]</w:t>
            </w:r>
          </w:p>
        </w:tc>
        <w:tc>
          <w:tcPr>
            <w:tcW w:type="dxa" w:w="2520"/>
          </w:tcPr>
          <w:p>
            <w:r/>
            <w:r>
              <w:rPr>
                <w:rFonts w:ascii="Arial" w:hAnsi="Arial"/>
                <w:b w:val="0"/>
                <w:sz w:val="20"/>
              </w:rPr>
              <w:t>[IT Manager / ISSO]</w:t>
            </w:r>
          </w:p>
        </w:tc>
        <w:tc>
          <w:tcPr>
            <w:tcW w:type="dxa" w:w="2520"/>
          </w:tcPr>
          <w:p>
            <w:r/>
            <w:r>
              <w:rPr>
                <w:rFonts w:ascii="Arial" w:hAnsi="Arial"/>
                <w:b w:val="0"/>
                <w:sz w:val="20"/>
              </w:rPr>
              <w:t>Initial policy release.</w:t>
            </w:r>
          </w:p>
        </w:tc>
      </w:tr>
    </w:tbl>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1"/>
      </w:pBdr>
      <w:spacing w:before="80"/>
      <w:jc w:val="center"/>
    </w:pPr>
    <w:r>
      <w:rPr>
        <w:rFonts w:ascii="Arial" w:cs="Arial" w:eastAsia="Arial" w:hAnsi="Arial"/>
        <w:i/>
        <w:iCs/>
        <w:color w:val="8096B0"/>
        <w:sz w:val="15"/>
        <w:szCs w:val="15"/>
      </w:rPr>
      <w:t xml:space="preserve">CONFIDENTIAL — For internal use only. Review annually or upon significant change.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1"/>
      </w:pBdr>
      <w:spacing w:after="80"/>
      <w:jc w:val="right"/>
    </w:pPr>
    <w:r>
      <w:rPr>
        <w:rFonts w:ascii="Arial" w:cs="Arial" w:eastAsia="Arial" w:hAnsi="Arial"/>
        <w:color w:val="8096B0"/>
        <w:sz w:val="16"/>
        <w:szCs w:val="16"/>
      </w:rPr>
      <w:t xml:space="preserve">[Organization Name]  |  Access Control Policy  |  v[1.0]  |  </w:t>
    </w:r>
    <w:r>
      <w:rPr>
        <w:rFonts w:ascii="Arial" w:cs="Arial" w:eastAsia="Arial" w:hAnsi="Arial"/>
        <w:color w:val="8096B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PS-%1."/>
      <w:lvlJc w:val="left"/>
      <w:pPr>
        <w:ind w:left="700" w:hanging="400"/>
      </w:pPr>
    </w:lvl>
  </w:abstractNum>
  <w:abstractNum w:abstractNumId="4"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2026-06-06T13:50:17.851Z</dcterms:created>
  <dcterms:modified xsi:type="dcterms:W3CDTF">2026-06-06T13:50:17.852Z</dcterms:modified>
</cp:coreProperties>
</file>

<file path=docProps/custom.xml><?xml version="1.0" encoding="utf-8"?>
<Properties xmlns="http://schemas.openxmlformats.org/officeDocument/2006/custom-properties" xmlns:vt="http://schemas.openxmlformats.org/officeDocument/2006/docPropsVTypes"/>
</file>