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Plan du programme de sécurité de l'information (SSP)</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Plan du programme de sécurité de l'information (SSP)</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Le présent document établit le programme de sécurité de l'information de [Nom de l'organisation] et sert de fondement à son plan de sécurité du système (SSP). Il décrit le périmètre du système, l'environnement d'information contrôlée non classifiée (CUI), la manière dont les contrôles de sécurité sont mis en œuvre, et la façon dont le programme est planifié, doté de ressources et gouverné. Le SSP est la référence autoritative que les auditeurs utilisent pour comprendre l'environnement et vérifier la mise en œuvre des contrôles.</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Le périmètre défini du système qui traite, stocke ou transmet des CUI, y compris les composants, les flux de données et les connexions.</w:t>
      </w:r>
    </w:p>
    <w:p>
      <w:pPr>
        <w:ind w:left="360"/>
      </w:pPr>
      <w:r>
        <w:rPr>
          <w:rFonts w:ascii="Arial" w:hAnsi="Arial"/>
          <w:sz w:val="21"/>
        </w:rPr>
        <w:t>•  La gouvernance, les rôles et la planification du programme de sécurité qui soutiennent la mise en œuvre des contrôles.</w:t>
      </w:r>
    </w:p>
    <w:p>
      <w:pPr>
        <w:ind w:left="360"/>
      </w:pPr>
      <w:r>
        <w:rPr>
          <w:rFonts w:ascii="Arial" w:hAnsi="Arial"/>
          <w:sz w:val="21"/>
        </w:rPr>
        <w:t>•  Tout le personnel et les tiers opérant à l'intérieur du périmètre.</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Plan de sécurité du système (SSP): </w:t>
      </w:r>
      <w:r>
        <w:rPr>
          <w:rFonts w:ascii="Arial" w:hAnsi="Arial"/>
          <w:sz w:val="21"/>
        </w:rPr>
        <w:t>Le document autoritatif décrivant le système, son périmètre et la mise en œuvre de chaque contrôle de sécurité.</w:t>
      </w:r>
    </w:p>
    <w:p>
      <w:r>
        <w:rPr>
          <w:rFonts w:ascii="Arial" w:hAnsi="Arial"/>
          <w:b/>
          <w:sz w:val="21"/>
        </w:rPr>
        <w:t xml:space="preserve">Périmètre du système: </w:t>
      </w:r>
      <w:r>
        <w:rPr>
          <w:rFonts w:ascii="Arial" w:hAnsi="Arial"/>
          <w:sz w:val="21"/>
        </w:rPr>
        <w:t>L'ensemble des composants qui constituent le système et sa portée d'autorisation.</w:t>
      </w:r>
    </w:p>
    <w:p>
      <w:r>
        <w:rPr>
          <w:rFonts w:ascii="Arial" w:hAnsi="Arial"/>
          <w:b/>
          <w:sz w:val="21"/>
        </w:rPr>
        <w:t xml:space="preserve">Règles de conduite: </w:t>
      </w:r>
      <w:r>
        <w:rPr>
          <w:rFonts w:ascii="Arial" w:hAnsi="Arial"/>
          <w:sz w:val="21"/>
        </w:rPr>
        <w:t>Les règles documentées que les utilisateurs s'engagent à suivre pour accéder au système.</w:t>
      </w:r>
    </w:p>
    <w:p>
      <w:r>
        <w:rPr>
          <w:rFonts w:ascii="Arial" w:hAnsi="Arial"/>
          <w:b/>
          <w:sz w:val="21"/>
        </w:rPr>
        <w:t xml:space="preserve">Programme de sécurité: </w:t>
      </w:r>
      <w:r>
        <w:rPr>
          <w:rFonts w:ascii="Arial" w:hAnsi="Arial"/>
          <w:sz w:val="21"/>
        </w:rPr>
        <w:t>L'ensemble organisé de politiques, rôles, ressources et activités qui protègent l'information.</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du programme et du SSP; tenir à jour le périmètre et la mise en œuvre; coordonner les évaluations.</w:t>
            </w:r>
          </w:p>
        </w:tc>
      </w:tr>
      <w:tr>
        <w:tc>
          <w:tcPr>
            <w:tcW w:type="dxa" w:w="5040"/>
          </w:tcPr>
          <w:p>
            <w:r/>
            <w:r>
              <w:rPr>
                <w:rFonts w:ascii="Arial" w:hAnsi="Arial"/>
                <w:b w:val="0"/>
                <w:sz w:val="20"/>
              </w:rPr>
              <w:t>[Administrateur système]</w:t>
            </w:r>
          </w:p>
        </w:tc>
        <w:tc>
          <w:tcPr>
            <w:tcW w:type="dxa" w:w="5040"/>
          </w:tcPr>
          <w:p>
            <w:r/>
            <w:r>
              <w:rPr>
                <w:rFonts w:ascii="Arial" w:hAnsi="Arial"/>
                <w:b w:val="0"/>
                <w:sz w:val="20"/>
              </w:rPr>
              <w:t>Tenir l'inventaire des composants et la documentation des flux de données; mettre en œuvre les contrôles décrits.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le programme et le SSP; fournir les ressources; accepter le risque résiduel.</w:t>
            </w:r>
          </w:p>
        </w:tc>
      </w:tr>
      <w:tr>
        <w:tc>
          <w:tcPr>
            <w:tcW w:type="dxa" w:w="5040"/>
          </w:tcPr>
          <w:p>
            <w:r/>
            <w:r>
              <w:rPr>
                <w:rFonts w:ascii="Arial" w:hAnsi="Arial"/>
                <w:b w:val="0"/>
                <w:sz w:val="20"/>
              </w:rPr>
              <w:t>Tous les utilisateurs</w:t>
            </w:r>
          </w:p>
        </w:tc>
        <w:tc>
          <w:tcPr>
            <w:tcW w:type="dxa" w:w="5040"/>
          </w:tcPr>
          <w:p>
            <w:r/>
            <w:r>
              <w:rPr>
                <w:rFonts w:ascii="Arial" w:hAnsi="Arial"/>
                <w:b w:val="0"/>
                <w:sz w:val="20"/>
              </w:rPr>
              <w:t>Reconnaître et suivre les règles de conduite.</w:t>
            </w:r>
          </w:p>
        </w:tc>
      </w:tr>
    </w:tbl>
    <w:p/>
    <w:p>
      <w:pPr>
        <w:spacing w:before="200" w:after="80"/>
      </w:pPr>
      <w:r>
        <w:rPr>
          <w:rFonts w:ascii="Arial" w:hAnsi="Arial"/>
          <w:b/>
          <w:color w:val="2E5FA3"/>
          <w:sz w:val="26"/>
        </w:rPr>
        <w:t>5.  Énoncés de politique</w:t>
      </w:r>
    </w:p>
    <w:p>
      <w:r>
        <w:rPr>
          <w:rFonts w:ascii="Arial" w:hAnsi="Arial"/>
          <w:b/>
          <w:color w:val="2E5FA3"/>
          <w:sz w:val="21"/>
        </w:rPr>
        <w:t>PS-1  Politiques et procédures</w:t>
      </w:r>
    </w:p>
    <w:p>
      <w:r>
        <w:rPr>
          <w:rFonts w:ascii="Arial" w:hAnsi="Arial"/>
          <w:sz w:val="21"/>
        </w:rPr>
        <w:t>[Nom de l'organisation] doit établir, maintenir et diffuser les politiques et procédures de sécurité requises pour protéger les CUI, et les réviser au moins [annuellement].</w:t>
      </w:r>
    </w:p>
    <w:p>
      <w:r>
        <w:rPr>
          <w:rFonts w:ascii="Arial" w:hAnsi="Arial"/>
          <w:b/>
          <w:color w:val="2E5FA3"/>
          <w:sz w:val="21"/>
        </w:rPr>
        <w:t>PS-2  Plan de sécurité du système</w:t>
      </w:r>
    </w:p>
    <w:p>
      <w:r>
        <w:rPr>
          <w:rFonts w:ascii="Arial" w:hAnsi="Arial"/>
          <w:sz w:val="21"/>
        </w:rPr>
        <w:t>Un plan de sécurité du système doit être élaboré et maintenu, décrivant le périmètre, l'environnement, les catégories de CUI, les interconnexions et la mise en œuvre de chaque contrôle requis; il doit être révisé et mis à jour selon une cadence définie et après tout changement important.</w:t>
      </w:r>
    </w:p>
    <w:p>
      <w:r>
        <w:rPr>
          <w:rFonts w:ascii="Arial" w:hAnsi="Arial"/>
          <w:b/>
          <w:color w:val="2E5FA3"/>
          <w:sz w:val="21"/>
        </w:rPr>
        <w:t>PS-3  Périmètre et inventaire</w:t>
      </w:r>
    </w:p>
    <w:p>
      <w:r>
        <w:rPr>
          <w:rFonts w:ascii="Arial" w:hAnsi="Arial"/>
          <w:sz w:val="21"/>
        </w:rPr>
        <w:t>Le périmètre du système, l'inventaire des composants et les flux de données des CUI doivent être documentés et tenus à jour.</w:t>
      </w:r>
    </w:p>
    <w:p>
      <w:r>
        <w:rPr>
          <w:rFonts w:ascii="Arial" w:hAnsi="Arial"/>
          <w:b/>
          <w:color w:val="2E5FA3"/>
          <w:sz w:val="21"/>
        </w:rPr>
        <w:t>PS-4  Règles de conduite</w:t>
      </w:r>
    </w:p>
    <w:p>
      <w:r>
        <w:rPr>
          <w:rFonts w:ascii="Arial" w:hAnsi="Arial"/>
          <w:sz w:val="21"/>
        </w:rPr>
        <w:t>Les règles de conduite des utilisateurs (y compris pour la manipulation des CUI) doivent être documentées, reconnues avant l'accès et reconnues de nouveau périodiquement.</w:t>
      </w:r>
    </w:p>
    <w:p>
      <w:r>
        <w:rPr>
          <w:rFonts w:ascii="Arial" w:hAnsi="Arial"/>
          <w:b/>
          <w:color w:val="2E5FA3"/>
          <w:sz w:val="21"/>
        </w:rPr>
        <w:t>PS-5  Gouvernance et dotation du programme</w:t>
      </w:r>
    </w:p>
    <w:p>
      <w:r>
        <w:rPr>
          <w:rFonts w:ascii="Arial" w:hAnsi="Arial"/>
          <w:sz w:val="21"/>
        </w:rPr>
        <w:t>Les rôles de sécurité doivent être attribués et le programme suffisamment doté; le SSP doit renvoyer aux politiques de soutien (contrôle d'accès, audit, etc.).</w:t>
      </w:r>
    </w:p>
    <w:p>
      <w:r>
        <w:rPr>
          <w:rFonts w:ascii="Arial" w:hAnsi="Arial"/>
          <w:b/>
          <w:color w:val="2E5FA3"/>
          <w:sz w:val="21"/>
        </w:rPr>
        <w:t>PS-6  Plan d'action et de jalons</w:t>
      </w:r>
    </w:p>
    <w:p>
      <w:r>
        <w:rPr>
          <w:rFonts w:ascii="Arial" w:hAnsi="Arial"/>
          <w:sz w:val="21"/>
        </w:rPr>
        <w:t>Les lacunes de mise en œuvre des contrôles doivent être suivies dans un POA&amp;M associé au SSP.</w:t>
      </w:r>
    </w:p>
    <w:p>
      <w:pPr>
        <w:spacing w:before="200" w:after="80"/>
      </w:pPr>
      <w:r>
        <w:rPr>
          <w:rFonts w:ascii="Arial" w:hAnsi="Arial"/>
          <w:b/>
          <w:color w:val="2E5FA3"/>
          <w:sz w:val="26"/>
        </w:rPr>
        <w:t>6.  Procédures et preuves d'audit</w:t>
      </w:r>
    </w:p>
    <w:p>
      <w:r>
        <w:rPr>
          <w:rFonts w:ascii="Arial" w:hAnsi="Arial"/>
          <w:sz w:val="21"/>
        </w:rPr>
        <w:t>6.1  Tenir le SSP</w:t>
      </w:r>
    </w:p>
    <w:p>
      <w:pPr>
        <w:ind w:left="360"/>
      </w:pPr>
      <w:r>
        <w:rPr>
          <w:rFonts w:ascii="Arial" w:hAnsi="Arial"/>
          <w:sz w:val="21"/>
        </w:rPr>
        <w:t>•  Documenter le périmètre, l'inventaire, les catégories de CUI, les interconnexions et la mise en œuvre des contrôles.</w:t>
      </w:r>
    </w:p>
    <w:p>
      <w:pPr>
        <w:ind w:left="360"/>
      </w:pPr>
      <w:r>
        <w:rPr>
          <w:rFonts w:ascii="Arial" w:hAnsi="Arial"/>
          <w:sz w:val="21"/>
        </w:rPr>
        <w:t>•  Réviser/mettre à jour selon la cadence et après tout changement important.</w:t>
      </w:r>
    </w:p>
    <w:p>
      <w:r>
        <w:rPr>
          <w:rFonts w:ascii="Arial" w:hAnsi="Arial"/>
          <w:b/>
          <w:sz w:val="21"/>
        </w:rPr>
        <w:t xml:space="preserve">Preuves d'audit : </w:t>
      </w:r>
      <w:r>
        <w:rPr>
          <w:rFonts w:ascii="Arial" w:hAnsi="Arial"/>
          <w:sz w:val="21"/>
        </w:rPr>
        <w:t>SSP courant (daté); documentation du périmètre/inventaire/flux de données.</w:t>
      </w:r>
    </w:p>
    <w:p>
      <w:r>
        <w:rPr>
          <w:rFonts w:ascii="Arial" w:hAnsi="Arial"/>
          <w:sz w:val="21"/>
        </w:rPr>
        <w:t>6.2  Gouvernance</w:t>
      </w:r>
    </w:p>
    <w:p>
      <w:pPr>
        <w:ind w:left="360"/>
      </w:pPr>
      <w:r>
        <w:rPr>
          <w:rFonts w:ascii="Arial" w:hAnsi="Arial"/>
          <w:sz w:val="21"/>
        </w:rPr>
        <w:t>•  Maintenir et diffuser les politiques; attribuer les rôles de sécurité.</w:t>
      </w:r>
    </w:p>
    <w:p>
      <w:pPr>
        <w:ind w:left="360"/>
      </w:pPr>
      <w:r>
        <w:rPr>
          <w:rFonts w:ascii="Arial" w:hAnsi="Arial"/>
          <w:sz w:val="21"/>
        </w:rPr>
        <w:t>•  Obtenir les reconnaissances des règles de conduite; suivre les lacunes dans le POA&amp;M.</w:t>
      </w:r>
    </w:p>
    <w:p>
      <w:r>
        <w:rPr>
          <w:rFonts w:ascii="Arial" w:hAnsi="Arial"/>
          <w:b/>
          <w:sz w:val="21"/>
        </w:rPr>
        <w:t xml:space="preserve">Preuves d'audit : </w:t>
      </w:r>
      <w:r>
        <w:rPr>
          <w:rFonts w:ascii="Arial" w:hAnsi="Arial"/>
          <w:sz w:val="21"/>
        </w:rPr>
        <w:t>Ensemble de politiques (daté); attributions de rôles; règles de conduite signées; POA&amp;M.</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 SSP est à jour et complet, que les politiques sont maintenues et diffusées, que les règles de conduite sont reconnues et que les lacunes sont suivies dans le POA&amp;M.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Toutes les politiques de cet ensemble — référencées par le SSP pour la mise en œuvre des contrôles.</w:t>
      </w:r>
    </w:p>
    <w:p>
      <w:pPr>
        <w:ind w:left="360"/>
      </w:pPr>
      <w:r>
        <w:rPr>
          <w:rFonts w:ascii="Arial" w:hAnsi="Arial"/>
          <w:sz w:val="21"/>
        </w:rPr>
        <w:t>•  Politique d'évaluation de la sécurité et de surveillance continue — évaluation et POA&amp;M.</w:t>
      </w:r>
    </w:p>
    <w:p>
      <w:pPr>
        <w:ind w:left="360"/>
      </w:pPr>
      <w:r>
        <w:rPr>
          <w:rFonts w:ascii="Arial" w:hAnsi="Arial"/>
          <w:sz w:val="21"/>
        </w:rPr>
        <w:t>•  Politique d'évaluation des risques — entrées de risque du programme.</w:t>
      </w:r>
    </w:p>
    <w:p>
      <w:pPr>
        <w:ind w:left="360"/>
      </w:pPr>
      <w:r>
        <w:rPr>
          <w:rFonts w:ascii="Arial" w:hAnsi="Arial"/>
          <w:sz w:val="21"/>
        </w:rPr>
        <w:t>•  Politique de gestion de la configuration — inventaire des composants et périmètre.</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03.15 — Planification);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03.15.01  Politiques et procédures</w:t>
            </w:r>
          </w:p>
        </w:tc>
        <w:tc>
          <w:tcPr>
            <w:tcW w:type="dxa" w:w="3360"/>
          </w:tcPr>
          <w:p>
            <w:r/>
            <w:r>
              <w:rPr>
                <w:rFonts w:ascii="Arial" w:hAnsi="Arial"/>
                <w:b w:val="0"/>
                <w:sz w:val="20"/>
              </w:rPr>
              <w:t>PS-1, PS-5 — politiques maintenues et diffusées</w:t>
            </w:r>
          </w:p>
        </w:tc>
        <w:tc>
          <w:tcPr>
            <w:tcW w:type="dxa" w:w="3360"/>
          </w:tcPr>
          <w:p>
            <w:r/>
            <w:r>
              <w:rPr>
                <w:rFonts w:ascii="Arial" w:hAnsi="Arial"/>
                <w:b w:val="0"/>
                <w:sz w:val="20"/>
              </w:rPr>
              <w:t>Ensemble de politiques (daté); preuve de diffusion</w:t>
            </w:r>
          </w:p>
        </w:tc>
      </w:tr>
      <w:tr>
        <w:tc>
          <w:tcPr>
            <w:tcW w:type="dxa" w:w="3360"/>
          </w:tcPr>
          <w:p>
            <w:r/>
            <w:r>
              <w:rPr>
                <w:rFonts w:ascii="Arial" w:hAnsi="Arial"/>
                <w:b w:val="0"/>
                <w:sz w:val="20"/>
              </w:rPr>
              <w:t>03.15.02  Plan de sécurité du système</w:t>
            </w:r>
          </w:p>
        </w:tc>
        <w:tc>
          <w:tcPr>
            <w:tcW w:type="dxa" w:w="3360"/>
          </w:tcPr>
          <w:p>
            <w:r/>
            <w:r>
              <w:rPr>
                <w:rFonts w:ascii="Arial" w:hAnsi="Arial"/>
                <w:b w:val="0"/>
                <w:sz w:val="20"/>
              </w:rPr>
              <w:t>PS-2, PS-3, PS-6 — SSP, périmètre, POA&amp;M</w:t>
            </w:r>
          </w:p>
        </w:tc>
        <w:tc>
          <w:tcPr>
            <w:tcW w:type="dxa" w:w="3360"/>
          </w:tcPr>
          <w:p>
            <w:r/>
            <w:r>
              <w:rPr>
                <w:rFonts w:ascii="Arial" w:hAnsi="Arial"/>
                <w:b w:val="0"/>
                <w:sz w:val="20"/>
              </w:rPr>
              <w:t>SSP courant; périmètre/inventaire; POA&amp;M</w:t>
            </w:r>
          </w:p>
        </w:tc>
      </w:tr>
      <w:tr>
        <w:tc>
          <w:tcPr>
            <w:tcW w:type="dxa" w:w="3360"/>
          </w:tcPr>
          <w:p>
            <w:r/>
            <w:r>
              <w:rPr>
                <w:rFonts w:ascii="Arial" w:hAnsi="Arial"/>
                <w:b w:val="0"/>
                <w:sz w:val="20"/>
              </w:rPr>
              <w:t>03.15.03  Règles de conduite</w:t>
            </w:r>
          </w:p>
        </w:tc>
        <w:tc>
          <w:tcPr>
            <w:tcW w:type="dxa" w:w="3360"/>
          </w:tcPr>
          <w:p>
            <w:r/>
            <w:r>
              <w:rPr>
                <w:rFonts w:ascii="Arial" w:hAnsi="Arial"/>
                <w:b w:val="0"/>
                <w:sz w:val="20"/>
              </w:rPr>
              <w:t>PS-4 — règles documentées et reconnues</w:t>
            </w:r>
          </w:p>
        </w:tc>
        <w:tc>
          <w:tcPr>
            <w:tcW w:type="dxa" w:w="3360"/>
          </w:tcPr>
          <w:p>
            <w:r/>
            <w:r>
              <w:rPr>
                <w:rFonts w:ascii="Arial" w:hAnsi="Arial"/>
                <w:b w:val="0"/>
                <w:sz w:val="20"/>
              </w:rPr>
              <w:t>Règles de conduite signées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