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Personnel Security Policy</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Personnel Security Policy</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policy establishes how [Organization Name] manages security risks associated with personnel who access systems and Controlled Unclassified Information (CUI), through screening, agreements, and disciplined onboarding, transfer, and termination processes. People are both the organization's greatest asset and a common source of risk; this policy ensures access is granted to trustworthy individuals and removed promptly when no longer warranted.</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All employees, contractors, and third parties who are granted access to in-scope systems or CUI.</w:t>
      </w:r>
    </w:p>
    <w:p>
      <w:pPr>
        <w:ind w:left="360"/>
      </w:pPr>
      <w:r>
        <w:rPr>
          <w:rFonts w:ascii="Arial" w:hAnsi="Arial"/>
          <w:sz w:val="21"/>
        </w:rPr>
        <w:t>•  All hiring, transfer, and termination activities that affect such access.</w:t>
      </w:r>
    </w:p>
    <w:p>
      <w:pPr>
        <w:ind w:left="360"/>
      </w:pPr>
      <w:r>
        <w:rPr>
          <w:rFonts w:ascii="Arial" w:hAnsi="Arial"/>
          <w:sz w:val="21"/>
        </w:rPr>
        <w:t>•  All agreements governing acceptable use and confidentiality.</w:t>
      </w:r>
    </w:p>
    <w:p>
      <w:r>
        <w:rPr>
          <w:rFonts w:ascii="Arial" w:hAnsi="Arial"/>
          <w:sz w:val="21"/>
        </w:rPr>
        <w:t>Where CUI is involved, the requirements in this policy are mandatory and supersede convenience or operational preferences.</w:t>
      </w:r>
    </w:p>
    <w:p>
      <w:pPr>
        <w:spacing w:before="200" w:after="80"/>
      </w:pPr>
      <w:r>
        <w:rPr>
          <w:rFonts w:ascii="Arial" w:hAnsi="Arial"/>
          <w:b/>
          <w:color w:val="2E5FA3"/>
          <w:sz w:val="26"/>
        </w:rPr>
        <w:t>3.  Definitions</w:t>
      </w:r>
    </w:p>
    <w:p>
      <w:r>
        <w:rPr>
          <w:rFonts w:ascii="Arial" w:hAnsi="Arial"/>
          <w:b/>
          <w:sz w:val="21"/>
        </w:rPr>
        <w:t xml:space="preserve">Screening: </w:t>
      </w:r>
      <w:r>
        <w:rPr>
          <w:rFonts w:ascii="Arial" w:hAnsi="Arial"/>
          <w:sz w:val="21"/>
        </w:rPr>
        <w:t>Pre-access vetting appropriate to the role and the sensitivity of the information accessed.</w:t>
      </w:r>
    </w:p>
    <w:p>
      <w:r>
        <w:rPr>
          <w:rFonts w:ascii="Arial" w:hAnsi="Arial"/>
          <w:b/>
          <w:sz w:val="21"/>
        </w:rPr>
        <w:t xml:space="preserve">Acceptable Use / Rules of Behavior: </w:t>
      </w:r>
      <w:r>
        <w:rPr>
          <w:rFonts w:ascii="Arial" w:hAnsi="Arial"/>
          <w:sz w:val="21"/>
        </w:rPr>
        <w:t>The documented rules users agree to follow when accessing systems and CUI.</w:t>
      </w:r>
    </w:p>
    <w:p>
      <w:r>
        <w:rPr>
          <w:rFonts w:ascii="Arial" w:hAnsi="Arial"/>
          <w:b/>
          <w:sz w:val="21"/>
        </w:rPr>
        <w:t xml:space="preserve">Termination: </w:t>
      </w:r>
      <w:r>
        <w:rPr>
          <w:rFonts w:ascii="Arial" w:hAnsi="Arial"/>
          <w:sz w:val="21"/>
        </w:rPr>
        <w:t>The end of an individual's employment or engagement.</w:t>
      </w:r>
    </w:p>
    <w:p>
      <w:r>
        <w:rPr>
          <w:rFonts w:ascii="Arial" w:hAnsi="Arial"/>
          <w:b/>
          <w:sz w:val="21"/>
        </w:rPr>
        <w:t xml:space="preserve">Transfer: </w:t>
      </w:r>
      <w:r>
        <w:rPr>
          <w:rFonts w:ascii="Arial" w:hAnsi="Arial"/>
          <w:sz w:val="21"/>
        </w:rPr>
        <w:t>A change in an individual's role that may change their access needs.</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[Human Resources]</w:t>
            </w:r>
          </w:p>
        </w:tc>
        <w:tc>
          <w:tcPr>
            <w:tcW w:type="dxa" w:w="5040"/>
          </w:tcPr>
          <w:p>
            <w:r/>
            <w:r>
              <w:rPr>
                <w:rFonts w:ascii="Arial" w:hAnsi="Arial"/>
                <w:b w:val="0"/>
                <w:sz w:val="20"/>
              </w:rPr>
              <w:t>Conduct screening; obtain signed agreements; notify IT of hires, transfers, and terminations within the defined timeframe.</w:t>
            </w:r>
          </w:p>
        </w:tc>
      </w:tr>
      <w:tr>
        <w:tc>
          <w:tcPr>
            <w:tcW w:type="dxa" w:w="5040"/>
          </w:tcPr>
          <w:p>
            <w:r/>
            <w:r>
              <w:rPr>
                <w:rFonts w:ascii="Arial" w:hAnsi="Arial"/>
                <w:b w:val="0"/>
                <w:sz w:val="20"/>
              </w:rPr>
              <w:t>[IT Manager / ISSO]</w:t>
            </w:r>
          </w:p>
        </w:tc>
        <w:tc>
          <w:tcPr>
            <w:tcW w:type="dxa" w:w="5040"/>
          </w:tcPr>
          <w:p>
            <w:r/>
            <w:r>
              <w:rPr>
                <w:rFonts w:ascii="Arial" w:hAnsi="Arial"/>
                <w:b w:val="0"/>
                <w:sz w:val="20"/>
              </w:rPr>
              <w:t>Own this policy; ensure access is provisioned and removed in coordination with HR; maintain records.</w:t>
            </w:r>
          </w:p>
        </w:tc>
      </w:tr>
      <w:tr>
        <w:tc>
          <w:tcPr>
            <w:tcW w:type="dxa" w:w="5040"/>
          </w:tcPr>
          <w:p>
            <w:r/>
            <w:r>
              <w:rPr>
                <w:rFonts w:ascii="Arial" w:hAnsi="Arial"/>
                <w:b w:val="0"/>
                <w:sz w:val="20"/>
              </w:rPr>
              <w:t>[Department Manager / Supervisor]</w:t>
            </w:r>
          </w:p>
        </w:tc>
        <w:tc>
          <w:tcPr>
            <w:tcW w:type="dxa" w:w="5040"/>
          </w:tcPr>
          <w:p>
            <w:r/>
            <w:r>
              <w:rPr>
                <w:rFonts w:ascii="Arial" w:hAnsi="Arial"/>
                <w:b w:val="0"/>
                <w:sz w:val="20"/>
              </w:rPr>
              <w:t>Define role access needs; confirm least privilege; initiate transfers/terminations.</w:t>
            </w:r>
          </w:p>
        </w:tc>
      </w:tr>
      <w:tr>
        <w:tc>
          <w:tcPr>
            <w:tcW w:type="dxa" w:w="5040"/>
          </w:tcPr>
          <w:p>
            <w:r/>
            <w:r>
              <w:rPr>
                <w:rFonts w:ascii="Arial" w:hAnsi="Arial"/>
                <w:b w:val="0"/>
                <w:sz w:val="20"/>
              </w:rPr>
              <w:t>All Users</w:t>
            </w:r>
          </w:p>
        </w:tc>
        <w:tc>
          <w:tcPr>
            <w:tcW w:type="dxa" w:w="5040"/>
          </w:tcPr>
          <w:p>
            <w:r/>
            <w:r>
              <w:rPr>
                <w:rFonts w:ascii="Arial" w:hAnsi="Arial"/>
                <w:b w:val="0"/>
                <w:sz w:val="20"/>
              </w:rPr>
              <w:t>Comply with acceptable-use agreements; protect CUI; report concerns.</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this policy; accept residual risk for documented exceptions.</w:t>
            </w:r>
          </w:p>
        </w:tc>
      </w:tr>
    </w:tbl>
    <w:p/>
    <w:p>
      <w:pPr>
        <w:spacing w:before="200" w:after="80"/>
      </w:pPr>
      <w:r>
        <w:rPr>
          <w:rFonts w:ascii="Arial" w:hAnsi="Arial"/>
          <w:b/>
          <w:color w:val="2E5FA3"/>
          <w:sz w:val="26"/>
        </w:rPr>
        <w:t>5.  Policy Statements</w:t>
      </w:r>
    </w:p>
    <w:p>
      <w:r>
        <w:rPr>
          <w:rFonts w:ascii="Arial" w:hAnsi="Arial"/>
          <w:b/>
          <w:color w:val="2E5FA3"/>
          <w:sz w:val="21"/>
        </w:rPr>
        <w:t>PS-1  Personnel Screening</w:t>
      </w:r>
    </w:p>
    <w:p>
      <w:r>
        <w:rPr>
          <w:rFonts w:ascii="Arial" w:hAnsi="Arial"/>
          <w:sz w:val="21"/>
        </w:rPr>
        <w:t>Individuals must be screened commensurate with the sensitivity of the information and systems they will access before access to CUI is granted, in accordance with applicable law and contract.</w:t>
      </w:r>
    </w:p>
    <w:p>
      <w:r>
        <w:rPr>
          <w:rFonts w:ascii="Arial" w:hAnsi="Arial"/>
          <w:b/>
          <w:color w:val="2E5FA3"/>
          <w:sz w:val="21"/>
        </w:rPr>
        <w:t>PS-2  Acceptable Use &amp; Confidentiality Agreements</w:t>
      </w:r>
    </w:p>
    <w:p>
      <w:r>
        <w:rPr>
          <w:rFonts w:ascii="Arial" w:hAnsi="Arial"/>
          <w:sz w:val="21"/>
        </w:rPr>
        <w:t>Before access is granted, individuals must sign acceptable-use / rules-of-behavior and confidentiality agreements covering the protection of CUI.</w:t>
      </w:r>
    </w:p>
    <w:p>
      <w:r>
        <w:rPr>
          <w:rFonts w:ascii="Arial" w:hAnsi="Arial"/>
          <w:b/>
          <w:color w:val="2E5FA3"/>
          <w:sz w:val="21"/>
        </w:rPr>
        <w:t>PS-3  Access on Hire</w:t>
      </w:r>
    </w:p>
    <w:p>
      <w:r>
        <w:rPr>
          <w:rFonts w:ascii="Arial" w:hAnsi="Arial"/>
          <w:sz w:val="21"/>
        </w:rPr>
        <w:t>Access must be provisioned with least privilege only after screening and agreements are complete and security awareness training is initiated.</w:t>
      </w:r>
    </w:p>
    <w:p>
      <w:r>
        <w:rPr>
          <w:rFonts w:ascii="Arial" w:hAnsi="Arial"/>
          <w:b/>
          <w:color w:val="2E5FA3"/>
          <w:sz w:val="21"/>
        </w:rPr>
        <w:t>PS-4  Personnel Transfer</w:t>
      </w:r>
    </w:p>
    <w:p>
      <w:r>
        <w:rPr>
          <w:rFonts w:ascii="Arial" w:hAnsi="Arial"/>
          <w:sz w:val="21"/>
        </w:rPr>
        <w:t>When an individual changes roles, their access must be reviewed and adjusted to match the new role within [organization-defined: 5 business days; recommended: 5 business days].</w:t>
      </w:r>
    </w:p>
    <w:p>
      <w:r>
        <w:rPr>
          <w:rFonts w:ascii="Arial" w:hAnsi="Arial"/>
          <w:b/>
          <w:color w:val="2E5FA3"/>
          <w:sz w:val="21"/>
        </w:rPr>
        <w:t>PS-5  Personnel Termination</w:t>
      </w:r>
    </w:p>
    <w:p>
      <w:r>
        <w:rPr>
          <w:rFonts w:ascii="Arial" w:hAnsi="Arial"/>
          <w:sz w:val="21"/>
        </w:rPr>
        <w:t>Upon termination, access must be revoked promptly (recommended: same day), credentials and authenticators disabled, and organizational property (including CUI) recovered. HR must notify IT within [1 business day].</w:t>
      </w:r>
    </w:p>
    <w:p>
      <w:r>
        <w:rPr>
          <w:rFonts w:ascii="Arial" w:hAnsi="Arial"/>
          <w:b/>
          <w:color w:val="2E5FA3"/>
          <w:sz w:val="21"/>
        </w:rPr>
        <w:t>PS-6  Third-Party Personnel</w:t>
      </w:r>
    </w:p>
    <w:p>
      <w:r>
        <w:rPr>
          <w:rFonts w:ascii="Arial" w:hAnsi="Arial"/>
          <w:sz w:val="21"/>
        </w:rPr>
        <w:t>Contractor and vendor personnel must meet equivalent screening and agreement requirements and be subject to the same access-removal discipline.</w:t>
      </w:r>
    </w:p>
    <w:p>
      <w:pPr>
        <w:spacing w:before="200" w:after="80"/>
      </w:pPr>
      <w:r>
        <w:rPr>
          <w:rFonts w:ascii="Arial" w:hAnsi="Arial"/>
          <w:b/>
          <w:color w:val="2E5FA3"/>
          <w:sz w:val="26"/>
        </w:rPr>
        <w:t>6.  Procedures &amp; Audit Evidence</w:t>
      </w:r>
    </w:p>
    <w:p>
      <w:r>
        <w:rPr>
          <w:rFonts w:ascii="Arial" w:hAnsi="Arial"/>
          <w:sz w:val="21"/>
        </w:rPr>
        <w:t>6.1  Onboarding</w:t>
      </w:r>
    </w:p>
    <w:p>
      <w:pPr>
        <w:ind w:left="360"/>
      </w:pPr>
      <w:r>
        <w:rPr>
          <w:rFonts w:ascii="Arial" w:hAnsi="Arial"/>
          <w:sz w:val="21"/>
        </w:rPr>
        <w:t>•  Screen the individual; obtain signed agreements; provision least-privilege access; assign training.</w:t>
      </w:r>
    </w:p>
    <w:p>
      <w:pPr>
        <w:ind w:left="360"/>
      </w:pPr>
      <w:r>
        <w:rPr>
          <w:rFonts w:ascii="Arial" w:hAnsi="Arial"/>
          <w:sz w:val="21"/>
        </w:rPr>
        <w:t>•  Record completion before CUI access.</w:t>
      </w:r>
    </w:p>
    <w:p>
      <w:r>
        <w:rPr>
          <w:rFonts w:ascii="Arial" w:hAnsi="Arial"/>
          <w:b/>
          <w:sz w:val="21"/>
        </w:rPr>
        <w:t xml:space="preserve">Audit evidence: </w:t>
      </w:r>
      <w:r>
        <w:rPr>
          <w:rFonts w:ascii="Arial" w:hAnsi="Arial"/>
          <w:sz w:val="21"/>
        </w:rPr>
        <w:t>Screening records; signed agreements; access request forms; training assignments.</w:t>
      </w:r>
    </w:p>
    <w:p>
      <w:r>
        <w:rPr>
          <w:rFonts w:ascii="Arial" w:hAnsi="Arial"/>
          <w:sz w:val="21"/>
        </w:rPr>
        <w:t>6.2  Transfer &amp; Termination</w:t>
      </w:r>
    </w:p>
    <w:p>
      <w:pPr>
        <w:ind w:left="360"/>
      </w:pPr>
      <w:r>
        <w:rPr>
          <w:rFonts w:ascii="Arial" w:hAnsi="Arial"/>
          <w:sz w:val="21"/>
        </w:rPr>
        <w:t>•  On transfer, review and adjust access to the new role.</w:t>
      </w:r>
    </w:p>
    <w:p>
      <w:pPr>
        <w:ind w:left="360"/>
      </w:pPr>
      <w:r>
        <w:rPr>
          <w:rFonts w:ascii="Arial" w:hAnsi="Arial"/>
          <w:sz w:val="21"/>
        </w:rPr>
        <w:t>•  On termination, revoke access same-day, disable credentials, and recover property.</w:t>
      </w:r>
    </w:p>
    <w:p>
      <w:r>
        <w:rPr>
          <w:rFonts w:ascii="Arial" w:hAnsi="Arial"/>
          <w:b/>
          <w:sz w:val="21"/>
        </w:rPr>
        <w:t xml:space="preserve">Audit evidence: </w:t>
      </w:r>
      <w:r>
        <w:rPr>
          <w:rFonts w:ascii="Arial" w:hAnsi="Arial"/>
          <w:sz w:val="21"/>
        </w:rPr>
        <w:t>Transfer/termination checklists; access-revocation records; property-return records.</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by verifying screening and agreements are completed before access, transfers adjust access appropriately, and terminations result in prompt access removal. Results shall be reported to [Senior Leadership / CISO].</w:t>
      </w:r>
    </w:p>
    <w:p>
      <w:r>
        <w:rPr>
          <w:rFonts w:ascii="Arial" w:hAnsi="Arial"/>
          <w:sz w:val="21"/>
        </w:rPr>
        <w:t>Violations may result in:</w:t>
      </w:r>
    </w:p>
    <w:p>
      <w:pPr>
        <w:ind w:left="360"/>
      </w:pPr>
      <w:r>
        <w:rPr>
          <w:rFonts w:ascii="Arial" w:hAnsi="Arial"/>
          <w:sz w:val="21"/>
        </w:rPr>
        <w:t>•  Remediation of the deficiency within a timeframe set by the policy owner based on risk.</w:t>
      </w:r>
    </w:p>
    <w:p>
      <w:pPr>
        <w:ind w:left="360"/>
      </w:pPr>
      <w:r>
        <w:rPr>
          <w:rFonts w:ascii="Arial" w:hAnsi="Arial"/>
          <w:sz w:val="21"/>
        </w:rPr>
        <w:t>•  Disciplinary action up to and including termination of employment or contract,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 by the applicable contract or regulation.</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policy owner describing the requirement that cannot be met, the business justification, the risk introduced, and proposed compensating controls.</w:t>
      </w:r>
    </w:p>
    <w:p>
      <w:pPr>
        <w:ind w:left="360"/>
      </w:pPr>
      <w:r>
        <w:rPr>
          <w:rFonts w:ascii="Arial" w:hAnsi="Arial"/>
          <w:sz w:val="21"/>
        </w:rPr>
        <w:t>•  The policy owner assesses the risk and prepares a recommendation; [Senior Leadership / CISO] approves or denies the exception in writing.</w:t>
      </w:r>
    </w:p>
    <w:p>
      <w:pPr>
        <w:ind w:left="360"/>
      </w:pPr>
      <w:r>
        <w:rPr>
          <w:rFonts w:ascii="Arial" w:hAnsi="Arial"/>
          <w:sz w:val="21"/>
        </w:rPr>
        <w:t>•  Approved exceptions are logged in the Exception Register with an expiry of no more than [organization-defined: 12 months; recommended: 12 months], reviewed upon expiry, and reflected as a plan of action and milestones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Access Control Policy — provisioning, least privilege, and access termination.</w:t>
      </w:r>
    </w:p>
    <w:p>
      <w:pPr>
        <w:ind w:left="360"/>
      </w:pPr>
      <w:r>
        <w:rPr>
          <w:rFonts w:ascii="Arial" w:hAnsi="Arial"/>
          <w:sz w:val="21"/>
        </w:rPr>
        <w:t>•  Identification &amp; Authentication Policy — credential issuance and revocation.</w:t>
      </w:r>
    </w:p>
    <w:p>
      <w:pPr>
        <w:ind w:left="360"/>
      </w:pPr>
      <w:r>
        <w:rPr>
          <w:rFonts w:ascii="Arial" w:hAnsi="Arial"/>
          <w:sz w:val="21"/>
        </w:rPr>
        <w:t>•  Security Awareness &amp; Training Policy — onboarding training.</w:t>
      </w:r>
    </w:p>
    <w:p>
      <w:pPr>
        <w:ind w:left="360"/>
      </w:pPr>
      <w:r>
        <w:rPr>
          <w:rFonts w:ascii="Arial" w:hAnsi="Arial"/>
          <w:sz w:val="21"/>
        </w:rPr>
        <w:t>•  System Security Plan (SSP) — roles and CUI access context.</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03.09);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03.09.01  Personnel Screening</w:t>
            </w:r>
          </w:p>
        </w:tc>
        <w:tc>
          <w:tcPr>
            <w:tcW w:type="dxa" w:w="3360"/>
          </w:tcPr>
          <w:p>
            <w:r/>
            <w:r>
              <w:rPr>
                <w:rFonts w:ascii="Arial" w:hAnsi="Arial"/>
                <w:b w:val="0"/>
                <w:sz w:val="20"/>
              </w:rPr>
              <w:t>PS-1, PS-6 — screening before access</w:t>
            </w:r>
          </w:p>
        </w:tc>
        <w:tc>
          <w:tcPr>
            <w:tcW w:type="dxa" w:w="3360"/>
          </w:tcPr>
          <w:p>
            <w:r/>
            <w:r>
              <w:rPr>
                <w:rFonts w:ascii="Arial" w:hAnsi="Arial"/>
                <w:b w:val="0"/>
                <w:sz w:val="20"/>
              </w:rPr>
              <w:t>Screening records; vendor screening evidence</w:t>
            </w:r>
          </w:p>
        </w:tc>
      </w:tr>
      <w:tr>
        <w:tc>
          <w:tcPr>
            <w:tcW w:type="dxa" w:w="3360"/>
          </w:tcPr>
          <w:p>
            <w:r/>
            <w:r>
              <w:rPr>
                <w:rFonts w:ascii="Arial" w:hAnsi="Arial"/>
                <w:b w:val="0"/>
                <w:sz w:val="20"/>
              </w:rPr>
              <w:t>03.09.02  Personnel Termination and Transfer</w:t>
            </w:r>
          </w:p>
        </w:tc>
        <w:tc>
          <w:tcPr>
            <w:tcW w:type="dxa" w:w="3360"/>
          </w:tcPr>
          <w:p>
            <w:r/>
            <w:r>
              <w:rPr>
                <w:rFonts w:ascii="Arial" w:hAnsi="Arial"/>
                <w:b w:val="0"/>
                <w:sz w:val="20"/>
              </w:rPr>
              <w:t>PS-4, PS-5 — transfer and termination actions</w:t>
            </w:r>
          </w:p>
        </w:tc>
        <w:tc>
          <w:tcPr>
            <w:tcW w:type="dxa" w:w="3360"/>
          </w:tcPr>
          <w:p>
            <w:r/>
            <w:r>
              <w:rPr>
                <w:rFonts w:ascii="Arial" w:hAnsi="Arial"/>
                <w:b w:val="0"/>
                <w:sz w:val="20"/>
              </w:rPr>
              <w:t>Termination/transfer checklists; access-revocation records</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