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de sécurité du personnel</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de sécurité du personnel</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gère les risques de sécurité associés au personnel qui accède aux systèmes et à l'information contrôlée non classifiée (CUI), au moyen de la vérification, des ententes et de processus rigoureux d'entrée en fonction, de mutation et de départ. Les personnes sont à la fois le plus grand atout de l'organisation et une source fréquente de risque; cette politique garantit que l'accès est accordé à des personnes dignes de confiance et retiré promptement lorsqu'il n'est plus justifié.</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Tous les employés, sous-traitants et tiers à qui un accès aux systèmes visés ou aux CUI est accordé.</w:t>
      </w:r>
    </w:p>
    <w:p>
      <w:pPr>
        <w:ind w:left="360"/>
      </w:pPr>
      <w:r>
        <w:rPr>
          <w:rFonts w:ascii="Arial" w:hAnsi="Arial"/>
          <w:sz w:val="21"/>
        </w:rPr>
        <w:t>•  Toutes les activités d'embauche, de mutation et de départ qui touchent cet accès.</w:t>
      </w:r>
    </w:p>
    <w:p>
      <w:pPr>
        <w:ind w:left="360"/>
      </w:pPr>
      <w:r>
        <w:rPr>
          <w:rFonts w:ascii="Arial" w:hAnsi="Arial"/>
          <w:sz w:val="21"/>
        </w:rPr>
        <w:t>•  Toutes les ententes régissant l'usage acceptable et la confidentialité.</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Vérification: </w:t>
      </w:r>
      <w:r>
        <w:rPr>
          <w:rFonts w:ascii="Arial" w:hAnsi="Arial"/>
          <w:sz w:val="21"/>
        </w:rPr>
        <w:t>Contrôle préalable à l'accès, adapté au rôle et à la sensibilité de l'information consultée.</w:t>
      </w:r>
    </w:p>
    <w:p>
      <w:r>
        <w:rPr>
          <w:rFonts w:ascii="Arial" w:hAnsi="Arial"/>
          <w:b/>
          <w:sz w:val="21"/>
        </w:rPr>
        <w:t xml:space="preserve">Usage acceptable / Règles de conduite: </w:t>
      </w:r>
      <w:r>
        <w:rPr>
          <w:rFonts w:ascii="Arial" w:hAnsi="Arial"/>
          <w:sz w:val="21"/>
        </w:rPr>
        <w:t>Les règles documentées que les utilisateurs s'engagent à suivre pour accéder aux systèmes et aux CUI.</w:t>
      </w:r>
    </w:p>
    <w:p>
      <w:r>
        <w:rPr>
          <w:rFonts w:ascii="Arial" w:hAnsi="Arial"/>
          <w:b/>
          <w:sz w:val="21"/>
        </w:rPr>
        <w:t xml:space="preserve">Départ: </w:t>
      </w:r>
      <w:r>
        <w:rPr>
          <w:rFonts w:ascii="Arial" w:hAnsi="Arial"/>
          <w:sz w:val="21"/>
        </w:rPr>
        <w:t>La fin de l'emploi ou de l'engagement d'une personne.</w:t>
      </w:r>
    </w:p>
    <w:p>
      <w:r>
        <w:rPr>
          <w:rFonts w:ascii="Arial" w:hAnsi="Arial"/>
          <w:b/>
          <w:sz w:val="21"/>
        </w:rPr>
        <w:t xml:space="preserve">Mutation: </w:t>
      </w:r>
      <w:r>
        <w:rPr>
          <w:rFonts w:ascii="Arial" w:hAnsi="Arial"/>
          <w:sz w:val="21"/>
        </w:rPr>
        <w:t>Un changement de rôle pouvant modifier les besoins d'accès.</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[Ressources humaines]</w:t>
            </w:r>
          </w:p>
        </w:tc>
        <w:tc>
          <w:tcPr>
            <w:tcW w:type="dxa" w:w="5040"/>
          </w:tcPr>
          <w:p>
            <w:r/>
            <w:r>
              <w:rPr>
                <w:rFonts w:ascii="Arial" w:hAnsi="Arial"/>
                <w:b w:val="0"/>
                <w:sz w:val="20"/>
              </w:rPr>
              <w:t>Effectuer la vérification; obtenir les ententes signées; aviser les TI des embauches, mutations et départs dans le délai défini.</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assurer l'approvisionnement et le retrait des accès avec les RH; tenir les registres.</w:t>
            </w:r>
          </w:p>
        </w:tc>
      </w:tr>
      <w:tr>
        <w:tc>
          <w:tcPr>
            <w:tcW w:type="dxa" w:w="5040"/>
          </w:tcPr>
          <w:p>
            <w:r/>
            <w:r>
              <w:rPr>
                <w:rFonts w:ascii="Arial" w:hAnsi="Arial"/>
                <w:b w:val="0"/>
                <w:sz w:val="20"/>
              </w:rPr>
              <w:t>[Gestionnaire de service / Superviseur]</w:t>
            </w:r>
          </w:p>
        </w:tc>
        <w:tc>
          <w:tcPr>
            <w:tcW w:type="dxa" w:w="5040"/>
          </w:tcPr>
          <w:p>
            <w:r/>
            <w:r>
              <w:rPr>
                <w:rFonts w:ascii="Arial" w:hAnsi="Arial"/>
                <w:b w:val="0"/>
                <w:sz w:val="20"/>
              </w:rPr>
              <w:t>Définir les besoins d'accès du rôle; confirmer le moindre privilège; initier les mutations/départs.</w:t>
            </w:r>
          </w:p>
        </w:tc>
      </w:tr>
      <w:tr>
        <w:tc>
          <w:tcPr>
            <w:tcW w:type="dxa" w:w="5040"/>
          </w:tcPr>
          <w:p>
            <w:r/>
            <w:r>
              <w:rPr>
                <w:rFonts w:ascii="Arial" w:hAnsi="Arial"/>
                <w:b w:val="0"/>
                <w:sz w:val="20"/>
              </w:rPr>
              <w:t>Tous les utilisateurs</w:t>
            </w:r>
          </w:p>
        </w:tc>
        <w:tc>
          <w:tcPr>
            <w:tcW w:type="dxa" w:w="5040"/>
          </w:tcPr>
          <w:p>
            <w:r/>
            <w:r>
              <w:rPr>
                <w:rFonts w:ascii="Arial" w:hAnsi="Arial"/>
                <w:b w:val="0"/>
                <w:sz w:val="20"/>
              </w:rPr>
              <w:t>Respecter les ententes d'usage acceptable; protéger les CUI; signaler les préoccupations.</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accepter le risque résiduel pour les exceptions documentées.</w:t>
            </w:r>
          </w:p>
        </w:tc>
      </w:tr>
    </w:tbl>
    <w:p/>
    <w:p>
      <w:pPr>
        <w:spacing w:before="200" w:after="80"/>
      </w:pPr>
      <w:r>
        <w:rPr>
          <w:rFonts w:ascii="Arial" w:hAnsi="Arial"/>
          <w:b/>
          <w:color w:val="2E5FA3"/>
          <w:sz w:val="26"/>
        </w:rPr>
        <w:t>5.  Énoncés de politique</w:t>
      </w:r>
    </w:p>
    <w:p>
      <w:r>
        <w:rPr>
          <w:rFonts w:ascii="Arial" w:hAnsi="Arial"/>
          <w:b/>
          <w:color w:val="2E5FA3"/>
          <w:sz w:val="21"/>
        </w:rPr>
        <w:t>PS-1  Vérification du personnel</w:t>
      </w:r>
    </w:p>
    <w:p>
      <w:r>
        <w:rPr>
          <w:rFonts w:ascii="Arial" w:hAnsi="Arial"/>
          <w:sz w:val="21"/>
        </w:rPr>
        <w:t>Les personnes doivent être vérifiées en fonction de la sensibilité de l'information et des systèmes auxquels elles accéderont, avant que l'accès aux CUI soit accordé, conformément à la loi et au contrat applicables.</w:t>
      </w:r>
    </w:p>
    <w:p>
      <w:r>
        <w:rPr>
          <w:rFonts w:ascii="Arial" w:hAnsi="Arial"/>
          <w:b/>
          <w:color w:val="2E5FA3"/>
          <w:sz w:val="21"/>
        </w:rPr>
        <w:t>PS-2  Ententes d'usage acceptable et de confidentialité</w:t>
      </w:r>
    </w:p>
    <w:p>
      <w:r>
        <w:rPr>
          <w:rFonts w:ascii="Arial" w:hAnsi="Arial"/>
          <w:sz w:val="21"/>
        </w:rPr>
        <w:t>Avant l'octroi de l'accès, les personnes doivent signer des ententes d'usage acceptable / de règles de conduite et de confidentialité couvrant la protection des CUI.</w:t>
      </w:r>
    </w:p>
    <w:p>
      <w:r>
        <w:rPr>
          <w:rFonts w:ascii="Arial" w:hAnsi="Arial"/>
          <w:b/>
          <w:color w:val="2E5FA3"/>
          <w:sz w:val="21"/>
        </w:rPr>
        <w:t>PS-3  Accès à l'embauche</w:t>
      </w:r>
    </w:p>
    <w:p>
      <w:r>
        <w:rPr>
          <w:rFonts w:ascii="Arial" w:hAnsi="Arial"/>
          <w:sz w:val="21"/>
        </w:rPr>
        <w:t>L'accès doit être attribué au moindre privilège seulement après la vérification et les ententes, et l'initiation de la formation de sensibilisation à la sécurité.</w:t>
      </w:r>
    </w:p>
    <w:p>
      <w:r>
        <w:rPr>
          <w:rFonts w:ascii="Arial" w:hAnsi="Arial"/>
          <w:b/>
          <w:color w:val="2E5FA3"/>
          <w:sz w:val="21"/>
        </w:rPr>
        <w:t>PS-4  Mutation du personnel</w:t>
      </w:r>
    </w:p>
    <w:p>
      <w:r>
        <w:rPr>
          <w:rFonts w:ascii="Arial" w:hAnsi="Arial"/>
          <w:sz w:val="21"/>
        </w:rPr>
        <w:t>Lorsqu'une personne change de rôle, ses accès doivent être révisés et ajustés au nouveau rôle dans les [défini par l'organisation : 5 jours ouvrables; recommandé : 5 jours ouvrables].</w:t>
      </w:r>
    </w:p>
    <w:p>
      <w:r>
        <w:rPr>
          <w:rFonts w:ascii="Arial" w:hAnsi="Arial"/>
          <w:b/>
          <w:color w:val="2E5FA3"/>
          <w:sz w:val="21"/>
        </w:rPr>
        <w:t>PS-5  Départ du personnel</w:t>
      </w:r>
    </w:p>
    <w:p>
      <w:r>
        <w:rPr>
          <w:rFonts w:ascii="Arial" w:hAnsi="Arial"/>
          <w:sz w:val="21"/>
        </w:rPr>
        <w:t>Au départ, l'accès doit être révoqué promptement (recommandé : le jour même), les identifiants et authentifiants désactivés, et les biens de l'organisation (y compris les CUI) récupérés. Les RH doivent aviser les TI dans les [1 jour ouvrable].</w:t>
      </w:r>
    </w:p>
    <w:p>
      <w:r>
        <w:rPr>
          <w:rFonts w:ascii="Arial" w:hAnsi="Arial"/>
          <w:b/>
          <w:color w:val="2E5FA3"/>
          <w:sz w:val="21"/>
        </w:rPr>
        <w:t>PS-6  Personnel tiers</w:t>
      </w:r>
    </w:p>
    <w:p>
      <w:r>
        <w:rPr>
          <w:rFonts w:ascii="Arial" w:hAnsi="Arial"/>
          <w:sz w:val="21"/>
        </w:rPr>
        <w:t>Le personnel des sous-traitants et fournisseurs doit satisfaire à des exigences équivalentes de vérification et d'ententes et être soumis à la même discipline de retrait d'accès.</w:t>
      </w:r>
    </w:p>
    <w:p>
      <w:pPr>
        <w:spacing w:before="200" w:after="80"/>
      </w:pPr>
      <w:r>
        <w:rPr>
          <w:rFonts w:ascii="Arial" w:hAnsi="Arial"/>
          <w:b/>
          <w:color w:val="2E5FA3"/>
          <w:sz w:val="26"/>
        </w:rPr>
        <w:t>6.  Procédures et preuves d'audit</w:t>
      </w:r>
    </w:p>
    <w:p>
      <w:r>
        <w:rPr>
          <w:rFonts w:ascii="Arial" w:hAnsi="Arial"/>
          <w:sz w:val="21"/>
        </w:rPr>
        <w:t>6.1  Entrée en fonction</w:t>
      </w:r>
    </w:p>
    <w:p>
      <w:pPr>
        <w:ind w:left="360"/>
      </w:pPr>
      <w:r>
        <w:rPr>
          <w:rFonts w:ascii="Arial" w:hAnsi="Arial"/>
          <w:sz w:val="21"/>
        </w:rPr>
        <w:t>•  Vérifier la personne; obtenir les ententes signées; attribuer un accès au moindre privilège; assigner la formation.</w:t>
      </w:r>
    </w:p>
    <w:p>
      <w:pPr>
        <w:ind w:left="360"/>
      </w:pPr>
      <w:r>
        <w:rPr>
          <w:rFonts w:ascii="Arial" w:hAnsi="Arial"/>
          <w:sz w:val="21"/>
        </w:rPr>
        <w:t>•  Consigner l'achèvement avant l'accès aux CUI.</w:t>
      </w:r>
    </w:p>
    <w:p>
      <w:r>
        <w:rPr>
          <w:rFonts w:ascii="Arial" w:hAnsi="Arial"/>
          <w:b/>
          <w:sz w:val="21"/>
        </w:rPr>
        <w:t xml:space="preserve">Preuves d'audit : </w:t>
      </w:r>
      <w:r>
        <w:rPr>
          <w:rFonts w:ascii="Arial" w:hAnsi="Arial"/>
          <w:sz w:val="21"/>
        </w:rPr>
        <w:t>Dossiers de vérification; ententes signées; formulaires de demande d'accès; assignations de formation.</w:t>
      </w:r>
    </w:p>
    <w:p>
      <w:r>
        <w:rPr>
          <w:rFonts w:ascii="Arial" w:hAnsi="Arial"/>
          <w:sz w:val="21"/>
        </w:rPr>
        <w:t>6.2  Mutation et départ</w:t>
      </w:r>
    </w:p>
    <w:p>
      <w:pPr>
        <w:ind w:left="360"/>
      </w:pPr>
      <w:r>
        <w:rPr>
          <w:rFonts w:ascii="Arial" w:hAnsi="Arial"/>
          <w:sz w:val="21"/>
        </w:rPr>
        <w:t>•  À la mutation, réviser et ajuster l'accès au nouveau rôle.</w:t>
      </w:r>
    </w:p>
    <w:p>
      <w:pPr>
        <w:ind w:left="360"/>
      </w:pPr>
      <w:r>
        <w:rPr>
          <w:rFonts w:ascii="Arial" w:hAnsi="Arial"/>
          <w:sz w:val="21"/>
        </w:rPr>
        <w:t>•  Au départ, révoquer l'accès le jour même, désactiver les identifiants et récupérer les biens.</w:t>
      </w:r>
    </w:p>
    <w:p>
      <w:r>
        <w:rPr>
          <w:rFonts w:ascii="Arial" w:hAnsi="Arial"/>
          <w:b/>
          <w:sz w:val="21"/>
        </w:rPr>
        <w:t xml:space="preserve">Preuves d'audit : </w:t>
      </w:r>
      <w:r>
        <w:rPr>
          <w:rFonts w:ascii="Arial" w:hAnsi="Arial"/>
          <w:sz w:val="21"/>
        </w:rPr>
        <w:t>Listes de vérification de mutation/départ; registres de révocation d'accès; registres de retour des biens.</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la vérification et les ententes sont complétées avant l'accès, que les mutations ajustent l'accès et que les départs entraînent un retrait prompt de l'accès.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Politique de contrôle d'accès — approvisionnement, moindre privilège et cessation des accès.</w:t>
      </w:r>
    </w:p>
    <w:p>
      <w:pPr>
        <w:ind w:left="360"/>
      </w:pPr>
      <w:r>
        <w:rPr>
          <w:rFonts w:ascii="Arial" w:hAnsi="Arial"/>
          <w:sz w:val="21"/>
        </w:rPr>
        <w:t>•  Politique d'identification et d'authentification — émission et révocation des identifiants.</w:t>
      </w:r>
    </w:p>
    <w:p>
      <w:pPr>
        <w:ind w:left="360"/>
      </w:pPr>
      <w:r>
        <w:rPr>
          <w:rFonts w:ascii="Arial" w:hAnsi="Arial"/>
          <w:sz w:val="21"/>
        </w:rPr>
        <w:t>•  Politique de sensibilisation et de formation en sécurité — formation à l'entrée en fonction.</w:t>
      </w:r>
    </w:p>
    <w:p>
      <w:pPr>
        <w:ind w:left="360"/>
      </w:pPr>
      <w:r>
        <w:rPr>
          <w:rFonts w:ascii="Arial" w:hAnsi="Arial"/>
          <w:sz w:val="21"/>
        </w:rPr>
        <w:t>•  Plan de sécurité du système (SSP) — rôles et contexte d'accès aux CUI.</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03.09);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03.09.01  Vérification du personnel</w:t>
            </w:r>
          </w:p>
        </w:tc>
        <w:tc>
          <w:tcPr>
            <w:tcW w:type="dxa" w:w="3360"/>
          </w:tcPr>
          <w:p>
            <w:r/>
            <w:r>
              <w:rPr>
                <w:rFonts w:ascii="Arial" w:hAnsi="Arial"/>
                <w:b w:val="0"/>
                <w:sz w:val="20"/>
              </w:rPr>
              <w:t>PS-1, PS-6 — vérification avant l'accès</w:t>
            </w:r>
          </w:p>
        </w:tc>
        <w:tc>
          <w:tcPr>
            <w:tcW w:type="dxa" w:w="3360"/>
          </w:tcPr>
          <w:p>
            <w:r/>
            <w:r>
              <w:rPr>
                <w:rFonts w:ascii="Arial" w:hAnsi="Arial"/>
                <w:b w:val="0"/>
                <w:sz w:val="20"/>
              </w:rPr>
              <w:t>Dossiers de vérification; vérification des fournisseurs</w:t>
            </w:r>
          </w:p>
        </w:tc>
      </w:tr>
      <w:tr>
        <w:tc>
          <w:tcPr>
            <w:tcW w:type="dxa" w:w="3360"/>
          </w:tcPr>
          <w:p>
            <w:r/>
            <w:r>
              <w:rPr>
                <w:rFonts w:ascii="Arial" w:hAnsi="Arial"/>
                <w:b w:val="0"/>
                <w:sz w:val="20"/>
              </w:rPr>
              <w:t>03.09.02  Départ et mutation du personnel</w:t>
            </w:r>
          </w:p>
        </w:tc>
        <w:tc>
          <w:tcPr>
            <w:tcW w:type="dxa" w:w="3360"/>
          </w:tcPr>
          <w:p>
            <w:r/>
            <w:r>
              <w:rPr>
                <w:rFonts w:ascii="Arial" w:hAnsi="Arial"/>
                <w:b w:val="0"/>
                <w:sz w:val="20"/>
              </w:rPr>
              <w:t>PS-4, PS-5 — actions de mutation et de départ</w:t>
            </w:r>
          </w:p>
        </w:tc>
        <w:tc>
          <w:tcPr>
            <w:tcW w:type="dxa" w:w="3360"/>
          </w:tcPr>
          <w:p>
            <w:r/>
            <w:r>
              <w:rPr>
                <w:rFonts w:ascii="Arial" w:hAnsi="Arial"/>
                <w:b w:val="0"/>
                <w:sz w:val="20"/>
              </w:rPr>
              <w:t>Listes de vérification; registres de révocation d'accès</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