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tcPr>
          <w:p>
            <w:r/>
            <w:r>
              <w:rPr>
                <w:rFonts w:ascii="Arial" w:hAnsi="Arial"/>
                <w:b w:val="0"/>
                <w:sz w:val="20"/>
              </w:rPr>
              <w:t>[INSERT ORGANIZATION LOGO]</w:t>
            </w:r>
          </w:p>
        </w:tc>
        <w:tc>
          <w:tcPr>
            <w:tcW w:type="dxa" w:w="5040"/>
          </w:tcPr>
          <w:p>
            <w:r/>
            <w:r>
              <w:rPr>
                <w:rFonts w:ascii="Arial" w:hAnsi="Arial"/>
                <w:b/>
                <w:sz w:val="24"/>
              </w:rPr>
              <w:t>[Organization Name]</w:t>
            </w:r>
          </w:p>
          <w:p>
            <w:r>
              <w:rPr>
                <w:rFonts w:ascii="Arial" w:hAnsi="Arial"/>
                <w:b/>
                <w:color w:val="2E5FA3"/>
                <w:sz w:val="28"/>
              </w:rPr>
              <w:t>Physical Protection Policy</w:t>
            </w:r>
          </w:p>
        </w:tc>
      </w:tr>
    </w:tbl>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shd w:val="clear" w:color="auto" w:fill="1B3A6B"/>
          </w:tcPr>
          <w:p>
            <w:r/>
            <w:r>
              <w:rPr>
                <w:rFonts w:ascii="Arial" w:hAnsi="Arial"/>
                <w:b/>
                <w:color w:val="FFFFFF"/>
                <w:sz w:val="20"/>
              </w:rPr>
              <w:t>Field</w:t>
            </w:r>
          </w:p>
        </w:tc>
        <w:tc>
          <w:tcPr>
            <w:tcW w:type="dxa" w:w="2520"/>
            <w:shd w:val="clear" w:color="auto" w:fill="1B3A6B"/>
          </w:tcPr>
          <w:p>
            <w:r/>
            <w:r>
              <w:rPr>
                <w:rFonts w:ascii="Arial" w:hAnsi="Arial"/>
                <w:b/>
                <w:color w:val="FFFFFF"/>
                <w:sz w:val="20"/>
              </w:rPr>
              <w:t>Value</w:t>
            </w:r>
          </w:p>
        </w:tc>
        <w:tc>
          <w:tcPr>
            <w:tcW w:type="dxa" w:w="2520"/>
            <w:shd w:val="clear" w:color="auto" w:fill="1B3A6B"/>
          </w:tcPr>
          <w:p>
            <w:r/>
            <w:r>
              <w:rPr>
                <w:rFonts w:ascii="Arial" w:hAnsi="Arial"/>
                <w:b/>
                <w:color w:val="FFFFFF"/>
                <w:sz w:val="20"/>
              </w:rPr>
              <w:t>Field</w:t>
            </w:r>
          </w:p>
        </w:tc>
        <w:tc>
          <w:tcPr>
            <w:tcW w:type="dxa" w:w="2520"/>
            <w:shd w:val="clear" w:color="auto" w:fill="1B3A6B"/>
          </w:tcPr>
          <w:p>
            <w:r/>
            <w:r>
              <w:rPr>
                <w:rFonts w:ascii="Arial" w:hAnsi="Arial"/>
                <w:b/>
                <w:color w:val="FFFFFF"/>
                <w:sz w:val="20"/>
              </w:rPr>
              <w:t>Value</w:t>
            </w:r>
          </w:p>
        </w:tc>
      </w:tr>
      <w:tr>
        <w:tc>
          <w:tcPr>
            <w:tcW w:type="dxa" w:w="2520"/>
          </w:tcPr>
          <w:p>
            <w:r/>
            <w:r>
              <w:rPr>
                <w:rFonts w:ascii="Arial" w:hAnsi="Arial"/>
                <w:b w:val="0"/>
                <w:sz w:val="20"/>
              </w:rPr>
              <w:t>Policy Name</w:t>
            </w:r>
          </w:p>
        </w:tc>
        <w:tc>
          <w:tcPr>
            <w:tcW w:type="dxa" w:w="2520"/>
          </w:tcPr>
          <w:p>
            <w:r/>
            <w:r>
              <w:rPr>
                <w:rFonts w:ascii="Arial" w:hAnsi="Arial"/>
                <w:b w:val="0"/>
                <w:sz w:val="20"/>
              </w:rPr>
              <w:t>Physical Protection Policy</w:t>
            </w:r>
          </w:p>
        </w:tc>
        <w:tc>
          <w:tcPr>
            <w:tcW w:type="dxa" w:w="2520"/>
          </w:tcPr>
          <w:p>
            <w:r/>
            <w:r>
              <w:rPr>
                <w:rFonts w:ascii="Arial" w:hAnsi="Arial"/>
                <w:b w:val="0"/>
                <w:sz w:val="20"/>
              </w:rPr>
              <w:t>Version</w:t>
            </w:r>
          </w:p>
        </w:tc>
        <w:tc>
          <w:tcPr>
            <w:tcW w:type="dxa" w:w="2520"/>
          </w:tcPr>
          <w:p>
            <w:r/>
            <w:r>
              <w:rPr>
                <w:rFonts w:ascii="Arial" w:hAnsi="Arial"/>
                <w:b w:val="0"/>
                <w:sz w:val="20"/>
              </w:rPr>
              <w:t>[1.0]</w:t>
            </w:r>
          </w:p>
        </w:tc>
      </w:tr>
      <w:tr>
        <w:tc>
          <w:tcPr>
            <w:tcW w:type="dxa" w:w="2520"/>
          </w:tcPr>
          <w:p>
            <w:r/>
            <w:r>
              <w:rPr>
                <w:rFonts w:ascii="Arial" w:hAnsi="Arial"/>
                <w:b w:val="0"/>
                <w:sz w:val="20"/>
              </w:rPr>
              <w:t>Policy Owner</w:t>
            </w:r>
          </w:p>
        </w:tc>
        <w:tc>
          <w:tcPr>
            <w:tcW w:type="dxa" w:w="2520"/>
          </w:tcPr>
          <w:p>
            <w:r/>
            <w:r>
              <w:rPr>
                <w:rFonts w:ascii="Arial" w:hAnsi="Arial"/>
                <w:b w:val="0"/>
                <w:sz w:val="20"/>
              </w:rPr>
              <w:t>[IT Manager / ISSO]</w:t>
            </w:r>
          </w:p>
        </w:tc>
        <w:tc>
          <w:tcPr>
            <w:tcW w:type="dxa" w:w="2520"/>
          </w:tcPr>
          <w:p>
            <w:r/>
            <w:r>
              <w:rPr>
                <w:rFonts w:ascii="Arial" w:hAnsi="Arial"/>
                <w:b w:val="0"/>
                <w:sz w:val="20"/>
              </w:rPr>
              <w:t>Approved By</w:t>
            </w:r>
          </w:p>
        </w:tc>
        <w:tc>
          <w:tcPr>
            <w:tcW w:type="dxa" w:w="2520"/>
          </w:tcPr>
          <w:p>
            <w:r/>
            <w:r>
              <w:rPr>
                <w:rFonts w:ascii="Arial" w:hAnsi="Arial"/>
                <w:b w:val="0"/>
                <w:sz w:val="20"/>
              </w:rPr>
              <w:t>[CEO / CISO]</w:t>
            </w:r>
          </w:p>
        </w:tc>
      </w:tr>
      <w:tr>
        <w:tc>
          <w:tcPr>
            <w:tcW w:type="dxa" w:w="2520"/>
          </w:tcPr>
          <w:p>
            <w:r/>
            <w:r>
              <w:rPr>
                <w:rFonts w:ascii="Arial" w:hAnsi="Arial"/>
                <w:b w:val="0"/>
                <w:sz w:val="20"/>
              </w:rPr>
              <w:t>Effective Date</w:t>
            </w:r>
          </w:p>
        </w:tc>
        <w:tc>
          <w:tcPr>
            <w:tcW w:type="dxa" w:w="2520"/>
          </w:tcPr>
          <w:p>
            <w:r/>
            <w:r>
              <w:rPr>
                <w:rFonts w:ascii="Arial" w:hAnsi="Arial"/>
                <w:b w:val="0"/>
                <w:sz w:val="20"/>
              </w:rPr>
              <w:t>[YYYY-MM-DD]</w:t>
            </w:r>
          </w:p>
        </w:tc>
        <w:tc>
          <w:tcPr>
            <w:tcW w:type="dxa" w:w="2520"/>
          </w:tcPr>
          <w:p>
            <w:r/>
            <w:r>
              <w:rPr>
                <w:rFonts w:ascii="Arial" w:hAnsi="Arial"/>
                <w:b w:val="0"/>
                <w:sz w:val="20"/>
              </w:rPr>
              <w:t>Last Reviewed</w:t>
            </w:r>
          </w:p>
        </w:tc>
        <w:tc>
          <w:tcPr>
            <w:tcW w:type="dxa" w:w="2520"/>
          </w:tcPr>
          <w:p>
            <w:r/>
            <w:r>
              <w:rPr>
                <w:rFonts w:ascii="Arial" w:hAnsi="Arial"/>
                <w:b w:val="0"/>
                <w:sz w:val="20"/>
              </w:rPr>
              <w:t>[YYYY-MM-DD]</w:t>
            </w:r>
          </w:p>
        </w:tc>
      </w:tr>
      <w:tr>
        <w:tc>
          <w:tcPr>
            <w:tcW w:type="dxa" w:w="2520"/>
          </w:tcPr>
          <w:p>
            <w:r/>
            <w:r>
              <w:rPr>
                <w:rFonts w:ascii="Arial" w:hAnsi="Arial"/>
                <w:b w:val="0"/>
                <w:sz w:val="20"/>
              </w:rPr>
              <w:t>Review Cadence</w:t>
            </w:r>
          </w:p>
        </w:tc>
        <w:tc>
          <w:tcPr>
            <w:tcW w:type="dxa" w:w="2520"/>
          </w:tcPr>
          <w:p>
            <w:r/>
            <w:r>
              <w:rPr>
                <w:rFonts w:ascii="Arial" w:hAnsi="Arial"/>
                <w:b w:val="0"/>
                <w:sz w:val="20"/>
              </w:rPr>
              <w:t>Annual (or upon major change)</w:t>
            </w:r>
          </w:p>
        </w:tc>
        <w:tc>
          <w:tcPr>
            <w:tcW w:type="dxa" w:w="2520"/>
          </w:tcPr>
          <w:p>
            <w:r/>
            <w:r>
              <w:rPr>
                <w:rFonts w:ascii="Arial" w:hAnsi="Arial"/>
                <w:b w:val="0"/>
                <w:sz w:val="20"/>
              </w:rPr>
              <w:t>Classification</w:t>
            </w:r>
          </w:p>
        </w:tc>
        <w:tc>
          <w:tcPr>
            <w:tcW w:type="dxa" w:w="2520"/>
          </w:tcPr>
          <w:p>
            <w:r/>
            <w:r>
              <w:rPr>
                <w:rFonts w:ascii="Arial" w:hAnsi="Arial"/>
                <w:b w:val="0"/>
                <w:sz w:val="20"/>
              </w:rPr>
              <w:t>[CUI / Internal]</w:t>
            </w:r>
          </w:p>
        </w:tc>
      </w:tr>
    </w:tbl>
    <w:p/>
    <w:p>
      <w:pPr>
        <w:spacing w:before="200" w:after="80"/>
      </w:pPr>
      <w:r>
        <w:rPr>
          <w:rFonts w:ascii="Arial" w:hAnsi="Arial"/>
          <w:b/>
          <w:color w:val="2E5FA3"/>
          <w:sz w:val="26"/>
        </w:rPr>
        <w:t>1.  Purpose</w:t>
      </w:r>
    </w:p>
    <w:p>
      <w:r>
        <w:rPr>
          <w:rFonts w:ascii="Arial" w:hAnsi="Arial"/>
          <w:sz w:val="21"/>
        </w:rPr>
        <w:t>This policy establishes how [Organization Name] controls physical access to facilities, equipment, and supporting infrastructure that house systems and Controlled Unclassified Information (CUI). Logical controls can be undermined if an attacker gains physical access. This policy ensures only authorized individuals can physically reach CUI systems, that access is monitored, and that off-site and transmission scenarios are addressed.</w:t>
      </w:r>
    </w:p>
    <w:p>
      <w:pPr>
        <w:spacing w:before="200" w:after="80"/>
      </w:pPr>
      <w:r>
        <w:rPr>
          <w:rFonts w:ascii="Arial" w:hAnsi="Arial"/>
          <w:b/>
          <w:color w:val="2E5FA3"/>
          <w:sz w:val="26"/>
        </w:rPr>
        <w:t>2.  Scope</w:t>
      </w:r>
    </w:p>
    <w:p>
      <w:r>
        <w:rPr>
          <w:rFonts w:ascii="Arial" w:hAnsi="Arial"/>
          <w:sz w:val="21"/>
        </w:rPr>
        <w:t>This policy applies to:</w:t>
      </w:r>
    </w:p>
    <w:p>
      <w:pPr>
        <w:ind w:left="360"/>
      </w:pPr>
      <w:r>
        <w:rPr>
          <w:rFonts w:ascii="Arial" w:hAnsi="Arial"/>
          <w:sz w:val="21"/>
        </w:rPr>
        <w:t>•  All facilities, work areas, server/network rooms, and equipment that store or process CUI.</w:t>
      </w:r>
    </w:p>
    <w:p>
      <w:pPr>
        <w:ind w:left="360"/>
      </w:pPr>
      <w:r>
        <w:rPr>
          <w:rFonts w:ascii="Arial" w:hAnsi="Arial"/>
          <w:sz w:val="21"/>
        </w:rPr>
        <w:t>•  Visitors and third parties requiring physical access.</w:t>
      </w:r>
    </w:p>
    <w:p>
      <w:pPr>
        <w:ind w:left="360"/>
      </w:pPr>
      <w:r>
        <w:rPr>
          <w:rFonts w:ascii="Arial" w:hAnsi="Arial"/>
          <w:sz w:val="21"/>
        </w:rPr>
        <w:t>•  Alternate work sites and the protection of CUI transmission lines/equipment where applicable.</w:t>
      </w:r>
    </w:p>
    <w:p>
      <w:r>
        <w:rPr>
          <w:rFonts w:ascii="Arial" w:hAnsi="Arial"/>
          <w:sz w:val="21"/>
        </w:rPr>
        <w:t>Where CUI is involved, the requirements in this policy are mandatory and supersede convenience or operational preferences.</w:t>
      </w:r>
    </w:p>
    <w:p>
      <w:pPr>
        <w:spacing w:before="200" w:after="80"/>
      </w:pPr>
      <w:r>
        <w:rPr>
          <w:rFonts w:ascii="Arial" w:hAnsi="Arial"/>
          <w:b/>
          <w:color w:val="2E5FA3"/>
          <w:sz w:val="26"/>
        </w:rPr>
        <w:t>3.  Definitions</w:t>
      </w:r>
    </w:p>
    <w:p>
      <w:r>
        <w:rPr>
          <w:rFonts w:ascii="Arial" w:hAnsi="Arial"/>
          <w:b/>
          <w:sz w:val="21"/>
        </w:rPr>
        <w:t xml:space="preserve">Controlled Area: </w:t>
      </w:r>
      <w:r>
        <w:rPr>
          <w:rFonts w:ascii="Arial" w:hAnsi="Arial"/>
          <w:sz w:val="21"/>
        </w:rPr>
        <w:t>A space where access is limited to authorized individuals.</w:t>
      </w:r>
    </w:p>
    <w:p>
      <w:r>
        <w:rPr>
          <w:rFonts w:ascii="Arial" w:hAnsi="Arial"/>
          <w:b/>
          <w:sz w:val="21"/>
        </w:rPr>
        <w:t xml:space="preserve">Physical Access Authorization: </w:t>
      </w:r>
      <w:r>
        <w:rPr>
          <w:rFonts w:ascii="Arial" w:hAnsi="Arial"/>
          <w:sz w:val="21"/>
        </w:rPr>
        <w:t>Approved entitlement for an individual to enter a controlled area.</w:t>
      </w:r>
    </w:p>
    <w:p>
      <w:r>
        <w:rPr>
          <w:rFonts w:ascii="Arial" w:hAnsi="Arial"/>
          <w:b/>
          <w:sz w:val="21"/>
        </w:rPr>
        <w:t xml:space="preserve">Visitor: </w:t>
      </w:r>
      <w:r>
        <w:rPr>
          <w:rFonts w:ascii="Arial" w:hAnsi="Arial"/>
          <w:sz w:val="21"/>
        </w:rPr>
        <w:t>An individual without standing physical access authorization.</w:t>
      </w:r>
    </w:p>
    <w:p>
      <w:r>
        <w:rPr>
          <w:rFonts w:ascii="Arial" w:hAnsi="Arial"/>
          <w:b/>
          <w:sz w:val="21"/>
        </w:rPr>
        <w:t xml:space="preserve">Alternate Work Site: </w:t>
      </w:r>
      <w:r>
        <w:rPr>
          <w:rFonts w:ascii="Arial" w:hAnsi="Arial"/>
          <w:sz w:val="21"/>
        </w:rPr>
        <w:t>A location outside primary facilities (e.g., home office) where work is performed.</w:t>
      </w:r>
    </w:p>
    <w:p>
      <w:pPr>
        <w:spacing w:before="200" w:after="80"/>
      </w:pPr>
      <w:r>
        <w:rPr>
          <w:rFonts w:ascii="Arial" w:hAnsi="Arial"/>
          <w:b/>
          <w:color w:val="2E5FA3"/>
          <w:sz w:val="26"/>
        </w:rPr>
        <w:t>4.  Roles &amp; Responsibilities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shd w:val="clear" w:color="auto" w:fill="1B3A6B"/>
          </w:tcPr>
          <w:p>
            <w:r/>
            <w:r>
              <w:rPr>
                <w:rFonts w:ascii="Arial" w:hAnsi="Arial"/>
                <w:b/>
                <w:color w:val="FFFFFF"/>
                <w:sz w:val="20"/>
              </w:rPr>
              <w:t>Role</w:t>
            </w:r>
          </w:p>
        </w:tc>
        <w:tc>
          <w:tcPr>
            <w:tcW w:type="dxa" w:w="5040"/>
            <w:shd w:val="clear" w:color="auto" w:fill="1B3A6B"/>
          </w:tcPr>
          <w:p>
            <w:r/>
            <w:r>
              <w:rPr>
                <w:rFonts w:ascii="Arial" w:hAnsi="Arial"/>
                <w:b/>
                <w:color w:val="FFFFFF"/>
                <w:sz w:val="20"/>
              </w:rPr>
              <w:t>Key Responsibilities</w:t>
            </w:r>
          </w:p>
        </w:tc>
      </w:tr>
      <w:tr>
        <w:tc>
          <w:tcPr>
            <w:tcW w:type="dxa" w:w="5040"/>
          </w:tcPr>
          <w:p>
            <w:r/>
            <w:r>
              <w:rPr>
                <w:rFonts w:ascii="Arial" w:hAnsi="Arial"/>
                <w:b w:val="0"/>
                <w:sz w:val="20"/>
              </w:rPr>
              <w:t>[IT Manager / ISSO] / Facilities</w:t>
            </w:r>
          </w:p>
        </w:tc>
        <w:tc>
          <w:tcPr>
            <w:tcW w:type="dxa" w:w="5040"/>
          </w:tcPr>
          <w:p>
            <w:r/>
            <w:r>
              <w:rPr>
                <w:rFonts w:ascii="Arial" w:hAnsi="Arial"/>
                <w:b w:val="0"/>
                <w:sz w:val="20"/>
              </w:rPr>
              <w:t>Own this policy; authorize physical access; maintain access lists; oversee monitoring.</w:t>
            </w:r>
          </w:p>
        </w:tc>
      </w:tr>
      <w:tr>
        <w:tc>
          <w:tcPr>
            <w:tcW w:type="dxa" w:w="5040"/>
          </w:tcPr>
          <w:p>
            <w:r/>
            <w:r>
              <w:rPr>
                <w:rFonts w:ascii="Arial" w:hAnsi="Arial"/>
                <w:b w:val="0"/>
                <w:sz w:val="20"/>
              </w:rPr>
              <w:t>[System Administrator]</w:t>
            </w:r>
          </w:p>
        </w:tc>
        <w:tc>
          <w:tcPr>
            <w:tcW w:type="dxa" w:w="5040"/>
          </w:tcPr>
          <w:p>
            <w:r/>
            <w:r>
              <w:rPr>
                <w:rFonts w:ascii="Arial" w:hAnsi="Arial"/>
                <w:b w:val="0"/>
                <w:sz w:val="20"/>
              </w:rPr>
              <w:t>Protect equipment in controlled areas; manage access to server/network rooms.</w:t>
            </w:r>
          </w:p>
        </w:tc>
      </w:tr>
      <w:tr>
        <w:tc>
          <w:tcPr>
            <w:tcW w:type="dxa" w:w="5040"/>
          </w:tcPr>
          <w:p>
            <w:r/>
            <w:r>
              <w:rPr>
                <w:rFonts w:ascii="Arial" w:hAnsi="Arial"/>
                <w:b w:val="0"/>
                <w:sz w:val="20"/>
              </w:rPr>
              <w:t>All Users</w:t>
            </w:r>
          </w:p>
        </w:tc>
        <w:tc>
          <w:tcPr>
            <w:tcW w:type="dxa" w:w="5040"/>
          </w:tcPr>
          <w:p>
            <w:r/>
            <w:r>
              <w:rPr>
                <w:rFonts w:ascii="Arial" w:hAnsi="Arial"/>
                <w:b w:val="0"/>
                <w:sz w:val="20"/>
              </w:rPr>
              <w:t>Follow physical security rules; challenge/escort visitors; protect CUI at alternate work sites; report incidents.</w:t>
            </w:r>
          </w:p>
        </w:tc>
      </w:tr>
      <w:tr>
        <w:tc>
          <w:tcPr>
            <w:tcW w:type="dxa" w:w="5040"/>
          </w:tcPr>
          <w:p>
            <w:r/>
            <w:r>
              <w:rPr>
                <w:rFonts w:ascii="Arial" w:hAnsi="Arial"/>
                <w:b w:val="0"/>
                <w:sz w:val="20"/>
              </w:rPr>
              <w:t>[Senior Leadership / CISO]</w:t>
            </w:r>
          </w:p>
        </w:tc>
        <w:tc>
          <w:tcPr>
            <w:tcW w:type="dxa" w:w="5040"/>
          </w:tcPr>
          <w:p>
            <w:r/>
            <w:r>
              <w:rPr>
                <w:rFonts w:ascii="Arial" w:hAnsi="Arial"/>
                <w:b w:val="0"/>
                <w:sz w:val="20"/>
              </w:rPr>
              <w:t>Approve this policy; accept residual risk for documented exceptions.</w:t>
            </w:r>
          </w:p>
        </w:tc>
      </w:tr>
    </w:tbl>
    <w:p/>
    <w:p>
      <w:pPr>
        <w:spacing w:before="200" w:after="80"/>
      </w:pPr>
      <w:r>
        <w:rPr>
          <w:rFonts w:ascii="Arial" w:hAnsi="Arial"/>
          <w:b/>
          <w:color w:val="2E5FA3"/>
          <w:sz w:val="26"/>
        </w:rPr>
        <w:t>5.  Policy Statements</w:t>
      </w:r>
    </w:p>
    <w:p>
      <w:r>
        <w:rPr>
          <w:rFonts w:ascii="Arial" w:hAnsi="Arial"/>
          <w:b/>
          <w:color w:val="2E5FA3"/>
          <w:sz w:val="21"/>
        </w:rPr>
        <w:t>PS-1  Physical Access Authorizations</w:t>
      </w:r>
    </w:p>
    <w:p>
      <w:r>
        <w:rPr>
          <w:rFonts w:ascii="Arial" w:hAnsi="Arial"/>
          <w:sz w:val="21"/>
        </w:rPr>
        <w:t>Physical access to controlled areas housing CUI systems must be limited to authorized individuals via an approved list, with credentials (badges/keys) issued and revoked through a controlled process.</w:t>
      </w:r>
    </w:p>
    <w:p>
      <w:r>
        <w:rPr>
          <w:rFonts w:ascii="Arial" w:hAnsi="Arial"/>
          <w:b/>
          <w:color w:val="2E5FA3"/>
          <w:sz w:val="21"/>
        </w:rPr>
        <w:t>PS-2  Physical Access Control</w:t>
      </w:r>
    </w:p>
    <w:p>
      <w:r>
        <w:rPr>
          <w:rFonts w:ascii="Arial" w:hAnsi="Arial"/>
          <w:sz w:val="21"/>
        </w:rPr>
        <w:t>Entry to controlled areas must be enforced with locks, badge readers, or equivalent, and access lists reviewed [organization-defined: at least quarterly; recommended: quarterly].</w:t>
      </w:r>
    </w:p>
    <w:p>
      <w:r>
        <w:rPr>
          <w:rFonts w:ascii="Arial" w:hAnsi="Arial"/>
          <w:b/>
          <w:color w:val="2E5FA3"/>
          <w:sz w:val="21"/>
        </w:rPr>
        <w:t>PS-3  Monitoring Physical Access</w:t>
      </w:r>
    </w:p>
    <w:p>
      <w:r>
        <w:rPr>
          <w:rFonts w:ascii="Arial" w:hAnsi="Arial"/>
          <w:sz w:val="21"/>
        </w:rPr>
        <w:t>Physical access must be monitored (e.g., logs, alarms, video where appropriate) and unauthorized access investigated.</w:t>
      </w:r>
    </w:p>
    <w:p>
      <w:r>
        <w:rPr>
          <w:rFonts w:ascii="Arial" w:hAnsi="Arial"/>
          <w:b/>
          <w:color w:val="2E5FA3"/>
          <w:sz w:val="21"/>
        </w:rPr>
        <w:t>PS-4  Visitor Control</w:t>
      </w:r>
    </w:p>
    <w:p>
      <w:r>
        <w:rPr>
          <w:rFonts w:ascii="Arial" w:hAnsi="Arial"/>
          <w:sz w:val="21"/>
        </w:rPr>
        <w:t>Visitors must be identified, authorized, logged, and escorted in controlled areas; visitor records must be retained.</w:t>
      </w:r>
    </w:p>
    <w:p>
      <w:r>
        <w:rPr>
          <w:rFonts w:ascii="Arial" w:hAnsi="Arial"/>
          <w:b/>
          <w:color w:val="2E5FA3"/>
          <w:sz w:val="21"/>
        </w:rPr>
        <w:t>PS-5  Alternate Work Sites</w:t>
      </w:r>
    </w:p>
    <w:p>
      <w:r>
        <w:rPr>
          <w:rFonts w:ascii="Arial" w:hAnsi="Arial"/>
          <w:sz w:val="21"/>
        </w:rPr>
        <w:t>CUI accessed or stored at alternate work sites (e.g., remote work) must be protected with equivalent safeguards (locked storage, screen privacy, device encryption).</w:t>
      </w:r>
    </w:p>
    <w:p>
      <w:r>
        <w:rPr>
          <w:rFonts w:ascii="Arial" w:hAnsi="Arial"/>
          <w:b/>
          <w:color w:val="2E5FA3"/>
          <w:sz w:val="21"/>
        </w:rPr>
        <w:t>PS-6  Protecting Transmission &amp; Output Devices</w:t>
      </w:r>
    </w:p>
    <w:p>
      <w:r>
        <w:rPr>
          <w:rFonts w:ascii="Arial" w:hAnsi="Arial"/>
          <w:sz w:val="21"/>
        </w:rPr>
        <w:t>Cabling, network equipment, and output devices (e.g., printers) handling CUI must be protected against unauthorized physical access and interception where applicable.</w:t>
      </w:r>
    </w:p>
    <w:p>
      <w:pPr>
        <w:spacing w:before="200" w:after="80"/>
      </w:pPr>
      <w:r>
        <w:rPr>
          <w:rFonts w:ascii="Arial" w:hAnsi="Arial"/>
          <w:b/>
          <w:color w:val="2E5FA3"/>
          <w:sz w:val="26"/>
        </w:rPr>
        <w:t>6.  Procedures &amp; Audit Evidence</w:t>
      </w:r>
    </w:p>
    <w:p>
      <w:r>
        <w:rPr>
          <w:rFonts w:ascii="Arial" w:hAnsi="Arial"/>
          <w:sz w:val="21"/>
        </w:rPr>
        <w:t>6.1  Access &amp; Monitoring</w:t>
      </w:r>
    </w:p>
    <w:p>
      <w:pPr>
        <w:ind w:left="360"/>
      </w:pPr>
      <w:r>
        <w:rPr>
          <w:rFonts w:ascii="Arial" w:hAnsi="Arial"/>
          <w:sz w:val="21"/>
        </w:rPr>
        <w:t>•  Maintain authorized-access lists; issue/revoke badges; review lists quarterly.</w:t>
      </w:r>
    </w:p>
    <w:p>
      <w:pPr>
        <w:ind w:left="360"/>
      </w:pPr>
      <w:r>
        <w:rPr>
          <w:rFonts w:ascii="Arial" w:hAnsi="Arial"/>
          <w:sz w:val="21"/>
        </w:rPr>
        <w:t>•  Monitor access; log and investigate anomalies.</w:t>
      </w:r>
    </w:p>
    <w:p>
      <w:r>
        <w:rPr>
          <w:rFonts w:ascii="Arial" w:hAnsi="Arial"/>
          <w:b/>
          <w:sz w:val="21"/>
        </w:rPr>
        <w:t xml:space="preserve">Audit evidence: </w:t>
      </w:r>
      <w:r>
        <w:rPr>
          <w:rFonts w:ascii="Arial" w:hAnsi="Arial"/>
          <w:sz w:val="21"/>
        </w:rPr>
        <w:t>Access lists (dated); badge issuance/revocation; access logs; review sign-offs.</w:t>
      </w:r>
    </w:p>
    <w:p>
      <w:r>
        <w:rPr>
          <w:rFonts w:ascii="Arial" w:hAnsi="Arial"/>
          <w:sz w:val="21"/>
        </w:rPr>
        <w:t>6.2  Visitors &amp; Remote</w:t>
      </w:r>
    </w:p>
    <w:p>
      <w:pPr>
        <w:ind w:left="360"/>
      </w:pPr>
      <w:r>
        <w:rPr>
          <w:rFonts w:ascii="Arial" w:hAnsi="Arial"/>
          <w:sz w:val="21"/>
        </w:rPr>
        <w:t>•  Log and escort visitors in controlled areas.</w:t>
      </w:r>
    </w:p>
    <w:p>
      <w:pPr>
        <w:ind w:left="360"/>
      </w:pPr>
      <w:r>
        <w:rPr>
          <w:rFonts w:ascii="Arial" w:hAnsi="Arial"/>
          <w:sz w:val="21"/>
        </w:rPr>
        <w:t>•  Provide alternate-work-site safeguards and acknowledgments.</w:t>
      </w:r>
    </w:p>
    <w:p>
      <w:r>
        <w:rPr>
          <w:rFonts w:ascii="Arial" w:hAnsi="Arial"/>
          <w:b/>
          <w:sz w:val="21"/>
        </w:rPr>
        <w:t xml:space="preserve">Audit evidence: </w:t>
      </w:r>
      <w:r>
        <w:rPr>
          <w:rFonts w:ascii="Arial" w:hAnsi="Arial"/>
          <w:sz w:val="21"/>
        </w:rPr>
        <w:t>Visitor logs; remote-work security acknowledgments.</w:t>
      </w:r>
    </w:p>
    <w:p>
      <w:pPr>
        <w:spacing w:before="200" w:after="80"/>
      </w:pPr>
      <w:r>
        <w:rPr>
          <w:rFonts w:ascii="Arial" w:hAnsi="Arial"/>
          <w:b/>
          <w:color w:val="2E5FA3"/>
          <w:sz w:val="26"/>
        </w:rPr>
        <w:t>7.  Compliance, Monitoring &amp; Enforcement</w:t>
      </w:r>
    </w:p>
    <w:p>
      <w:r>
        <w:rPr>
          <w:rFonts w:ascii="Arial" w:hAnsi="Arial"/>
          <w:sz w:val="21"/>
        </w:rPr>
        <w:t>The [IT Manager / ISSO] shall review compliance with this policy at least [quarterly] by verifying access lists are current and reviewed, controlled areas are physically secured and monitored, visitors are escorted and logged, and alternate work sites are protected. Results shall be reported to [Senior Leadership / CISO].</w:t>
      </w:r>
    </w:p>
    <w:p>
      <w:r>
        <w:rPr>
          <w:rFonts w:ascii="Arial" w:hAnsi="Arial"/>
          <w:sz w:val="21"/>
        </w:rPr>
        <w:t>Violations may result in:</w:t>
      </w:r>
    </w:p>
    <w:p>
      <w:pPr>
        <w:ind w:left="360"/>
      </w:pPr>
      <w:r>
        <w:rPr>
          <w:rFonts w:ascii="Arial" w:hAnsi="Arial"/>
          <w:sz w:val="21"/>
        </w:rPr>
        <w:t>•  Remediation of the deficiency within a timeframe set by the policy owner based on risk.</w:t>
      </w:r>
    </w:p>
    <w:p>
      <w:pPr>
        <w:ind w:left="360"/>
      </w:pPr>
      <w:r>
        <w:rPr>
          <w:rFonts w:ascii="Arial" w:hAnsi="Arial"/>
          <w:sz w:val="21"/>
        </w:rPr>
        <w:t>•  Disciplinary action up to and including termination of employment or contract, consistent with [Organization Name]'s disciplinary procedures.</w:t>
      </w:r>
    </w:p>
    <w:p>
      <w:pPr>
        <w:ind w:left="360"/>
      </w:pPr>
      <w:r>
        <w:rPr>
          <w:rFonts w:ascii="Arial" w:hAnsi="Arial"/>
          <w:sz w:val="21"/>
        </w:rPr>
        <w:t>•  Referral to law enforcement and notification to government contracting officers where CUI or criminal activity is involved, as required by the applicable contract or regulation.</w:t>
      </w:r>
    </w:p>
    <w:p>
      <w:pPr>
        <w:spacing w:before="200" w:after="80"/>
      </w:pPr>
      <w:r>
        <w:rPr>
          <w:rFonts w:ascii="Arial" w:hAnsi="Arial"/>
          <w:b/>
          <w:color w:val="2E5FA3"/>
          <w:sz w:val="26"/>
        </w:rPr>
        <w:t>8.  Exceptions</w:t>
      </w:r>
    </w:p>
    <w:p>
      <w:r>
        <w:rPr>
          <w:rFonts w:ascii="Arial" w:hAnsi="Arial"/>
          <w:sz w:val="21"/>
        </w:rPr>
        <w:t>Exceptions to this policy must be rare. To request one:</w:t>
      </w:r>
    </w:p>
    <w:p>
      <w:pPr>
        <w:ind w:left="360"/>
      </w:pPr>
      <w:r>
        <w:rPr>
          <w:rFonts w:ascii="Arial" w:hAnsi="Arial"/>
          <w:sz w:val="21"/>
        </w:rPr>
        <w:t>•  The requester submits a written exception to the policy owner describing the requirement that cannot be met, the business justification, the risk introduced, and proposed compensating controls.</w:t>
      </w:r>
    </w:p>
    <w:p>
      <w:pPr>
        <w:ind w:left="360"/>
      </w:pPr>
      <w:r>
        <w:rPr>
          <w:rFonts w:ascii="Arial" w:hAnsi="Arial"/>
          <w:sz w:val="21"/>
        </w:rPr>
        <w:t>•  The policy owner assesses the risk and prepares a recommendation; [Senior Leadership / CISO] approves or denies the exception in writing.</w:t>
      </w:r>
    </w:p>
    <w:p>
      <w:pPr>
        <w:ind w:left="360"/>
      </w:pPr>
      <w:r>
        <w:rPr>
          <w:rFonts w:ascii="Arial" w:hAnsi="Arial"/>
          <w:sz w:val="21"/>
        </w:rPr>
        <w:t>•  Approved exceptions are logged in the Exception Register with an expiry of no more than [organization-defined: 12 months; recommended: 12 months], reviewed upon expiry, and reflected as a plan of action and milestones (POA&amp;M) item in the SSP where CUI systems are affected.</w:t>
      </w:r>
    </w:p>
    <w:p>
      <w:pPr>
        <w:spacing w:before="200" w:after="80"/>
      </w:pPr>
      <w:r>
        <w:rPr>
          <w:rFonts w:ascii="Arial" w:hAnsi="Arial"/>
          <w:b/>
          <w:color w:val="2E5FA3"/>
          <w:sz w:val="26"/>
        </w:rPr>
        <w:t>9.  Related Documents</w:t>
      </w:r>
    </w:p>
    <w:p>
      <w:pPr>
        <w:ind w:left="360"/>
      </w:pPr>
      <w:r>
        <w:rPr>
          <w:rFonts w:ascii="Arial" w:hAnsi="Arial"/>
          <w:sz w:val="21"/>
        </w:rPr>
        <w:t>•  Access Control Policy — logical access complementing physical controls.</w:t>
      </w:r>
    </w:p>
    <w:p>
      <w:pPr>
        <w:ind w:left="360"/>
      </w:pPr>
      <w:r>
        <w:rPr>
          <w:rFonts w:ascii="Arial" w:hAnsi="Arial"/>
          <w:sz w:val="21"/>
        </w:rPr>
        <w:t>•  Media Protection Policy — physical storage of CUI media.</w:t>
      </w:r>
    </w:p>
    <w:p>
      <w:pPr>
        <w:ind w:left="360"/>
      </w:pPr>
      <w:r>
        <w:rPr>
          <w:rFonts w:ascii="Arial" w:hAnsi="Arial"/>
          <w:sz w:val="21"/>
        </w:rPr>
        <w:t>•  System &amp; Communications Protection Policy — protection of transmission lines.</w:t>
      </w:r>
    </w:p>
    <w:p>
      <w:pPr>
        <w:ind w:left="360"/>
      </w:pPr>
      <w:r>
        <w:rPr>
          <w:rFonts w:ascii="Arial" w:hAnsi="Arial"/>
          <w:sz w:val="21"/>
        </w:rPr>
        <w:t>•  System Security Plan (SSP) — facility and CUI context.</w:t>
      </w:r>
    </w:p>
    <w:p>
      <w:pPr>
        <w:spacing w:before="200" w:after="80"/>
      </w:pPr>
      <w:r>
        <w:rPr>
          <w:rFonts w:ascii="Arial" w:hAnsi="Arial"/>
          <w:b/>
          <w:color w:val="2E5FA3"/>
          <w:sz w:val="26"/>
        </w:rPr>
        <w:t>10.  Control Mapping</w:t>
      </w:r>
    </w:p>
    <w:p>
      <w:r>
        <w:rPr>
          <w:rFonts w:ascii="Arial" w:hAnsi="Arial"/>
          <w:sz w:val="21"/>
        </w:rPr>
        <w:t>The table below maps each required control to the policy statement(s) that satisfy it and the evidence an auditor will seek. Control IDs are from NIST SP 800-171 Rev 3 (family 03.10); they are equally applicable to CMMC 2.0 Level 2 and ITSP.10.171 (CPCSC).</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360"/>
        <w:gridCol w:w="3360"/>
        <w:gridCol w:w="3360"/>
      </w:tblGrid>
      <w:tr>
        <w:tc>
          <w:tcPr>
            <w:tcW w:type="dxa" w:w="3360"/>
            <w:shd w:val="clear" w:color="auto" w:fill="1B3A6B"/>
          </w:tcPr>
          <w:p>
            <w:r/>
            <w:r>
              <w:rPr>
                <w:rFonts w:ascii="Arial" w:hAnsi="Arial"/>
                <w:b/>
                <w:color w:val="FFFFFF"/>
                <w:sz w:val="20"/>
              </w:rPr>
              <w:t>Control ID</w:t>
            </w:r>
          </w:p>
        </w:tc>
        <w:tc>
          <w:tcPr>
            <w:tcW w:type="dxa" w:w="3360"/>
            <w:shd w:val="clear" w:color="auto" w:fill="1B3A6B"/>
          </w:tcPr>
          <w:p>
            <w:r/>
            <w:r>
              <w:rPr>
                <w:rFonts w:ascii="Arial" w:hAnsi="Arial"/>
                <w:b/>
                <w:color w:val="FFFFFF"/>
                <w:sz w:val="20"/>
              </w:rPr>
              <w:t>Policy Statement(s)</w:t>
            </w:r>
          </w:p>
        </w:tc>
        <w:tc>
          <w:tcPr>
            <w:tcW w:type="dxa" w:w="3360"/>
            <w:shd w:val="clear" w:color="auto" w:fill="1B3A6B"/>
          </w:tcPr>
          <w:p>
            <w:r/>
            <w:r>
              <w:rPr>
                <w:rFonts w:ascii="Arial" w:hAnsi="Arial"/>
                <w:b/>
                <w:color w:val="FFFFFF"/>
                <w:sz w:val="20"/>
              </w:rPr>
              <w:t>Expected Audit Evidence</w:t>
            </w:r>
          </w:p>
        </w:tc>
      </w:tr>
      <w:tr>
        <w:tc>
          <w:tcPr>
            <w:tcW w:type="dxa" w:w="3360"/>
          </w:tcPr>
          <w:p>
            <w:r/>
            <w:r>
              <w:rPr>
                <w:rFonts w:ascii="Arial" w:hAnsi="Arial"/>
                <w:b w:val="0"/>
                <w:sz w:val="20"/>
              </w:rPr>
              <w:t>03.10.01  Physical Access Authorizations</w:t>
            </w:r>
          </w:p>
        </w:tc>
        <w:tc>
          <w:tcPr>
            <w:tcW w:type="dxa" w:w="3360"/>
          </w:tcPr>
          <w:p>
            <w:r/>
            <w:r>
              <w:rPr>
                <w:rFonts w:ascii="Arial" w:hAnsi="Arial"/>
                <w:b w:val="0"/>
                <w:sz w:val="20"/>
              </w:rPr>
              <w:t>PS-1 — authorized-access list</w:t>
            </w:r>
          </w:p>
        </w:tc>
        <w:tc>
          <w:tcPr>
            <w:tcW w:type="dxa" w:w="3360"/>
          </w:tcPr>
          <w:p>
            <w:r/>
            <w:r>
              <w:rPr>
                <w:rFonts w:ascii="Arial" w:hAnsi="Arial"/>
                <w:b w:val="0"/>
                <w:sz w:val="20"/>
              </w:rPr>
              <w:t>Access lists; badge issuance records</w:t>
            </w:r>
          </w:p>
        </w:tc>
      </w:tr>
      <w:tr>
        <w:tc>
          <w:tcPr>
            <w:tcW w:type="dxa" w:w="3360"/>
          </w:tcPr>
          <w:p>
            <w:r/>
            <w:r>
              <w:rPr>
                <w:rFonts w:ascii="Arial" w:hAnsi="Arial"/>
                <w:b w:val="0"/>
                <w:sz w:val="20"/>
              </w:rPr>
              <w:t>03.10.02  Monitoring Physical Access</w:t>
            </w:r>
          </w:p>
        </w:tc>
        <w:tc>
          <w:tcPr>
            <w:tcW w:type="dxa" w:w="3360"/>
          </w:tcPr>
          <w:p>
            <w:r/>
            <w:r>
              <w:rPr>
                <w:rFonts w:ascii="Arial" w:hAnsi="Arial"/>
                <w:b w:val="0"/>
                <w:sz w:val="20"/>
              </w:rPr>
              <w:t>PS-3 — monitoring</w:t>
            </w:r>
          </w:p>
        </w:tc>
        <w:tc>
          <w:tcPr>
            <w:tcW w:type="dxa" w:w="3360"/>
          </w:tcPr>
          <w:p>
            <w:r/>
            <w:r>
              <w:rPr>
                <w:rFonts w:ascii="Arial" w:hAnsi="Arial"/>
                <w:b w:val="0"/>
                <w:sz w:val="20"/>
              </w:rPr>
              <w:t>Access logs; alarm/video records</w:t>
            </w:r>
          </w:p>
        </w:tc>
      </w:tr>
      <w:tr>
        <w:tc>
          <w:tcPr>
            <w:tcW w:type="dxa" w:w="3360"/>
          </w:tcPr>
          <w:p>
            <w:r/>
            <w:r>
              <w:rPr>
                <w:rFonts w:ascii="Arial" w:hAnsi="Arial"/>
                <w:b w:val="0"/>
                <w:sz w:val="20"/>
              </w:rPr>
              <w:t>03.10.06  Alternate Work Site</w:t>
            </w:r>
          </w:p>
        </w:tc>
        <w:tc>
          <w:tcPr>
            <w:tcW w:type="dxa" w:w="3360"/>
          </w:tcPr>
          <w:p>
            <w:r/>
            <w:r>
              <w:rPr>
                <w:rFonts w:ascii="Arial" w:hAnsi="Arial"/>
                <w:b w:val="0"/>
                <w:sz w:val="20"/>
              </w:rPr>
              <w:t>PS-5 — remote-site safeguards</w:t>
            </w:r>
          </w:p>
        </w:tc>
        <w:tc>
          <w:tcPr>
            <w:tcW w:type="dxa" w:w="3360"/>
          </w:tcPr>
          <w:p>
            <w:r/>
            <w:r>
              <w:rPr>
                <w:rFonts w:ascii="Arial" w:hAnsi="Arial"/>
                <w:b w:val="0"/>
                <w:sz w:val="20"/>
              </w:rPr>
              <w:t>Remote-work acknowledgments; safeguards</w:t>
            </w:r>
          </w:p>
        </w:tc>
      </w:tr>
      <w:tr>
        <w:tc>
          <w:tcPr>
            <w:tcW w:type="dxa" w:w="3360"/>
          </w:tcPr>
          <w:p>
            <w:r/>
            <w:r>
              <w:rPr>
                <w:rFonts w:ascii="Arial" w:hAnsi="Arial"/>
                <w:b w:val="0"/>
                <w:sz w:val="20"/>
              </w:rPr>
              <w:t>03.10.07  Physical Access Control</w:t>
            </w:r>
          </w:p>
        </w:tc>
        <w:tc>
          <w:tcPr>
            <w:tcW w:type="dxa" w:w="3360"/>
          </w:tcPr>
          <w:p>
            <w:r/>
            <w:r>
              <w:rPr>
                <w:rFonts w:ascii="Arial" w:hAnsi="Arial"/>
                <w:b w:val="0"/>
                <w:sz w:val="20"/>
              </w:rPr>
              <w:t>PS-2, PS-4 — enforced entry; visitor control</w:t>
            </w:r>
          </w:p>
        </w:tc>
        <w:tc>
          <w:tcPr>
            <w:tcW w:type="dxa" w:w="3360"/>
          </w:tcPr>
          <w:p>
            <w:r/>
            <w:r>
              <w:rPr>
                <w:rFonts w:ascii="Arial" w:hAnsi="Arial"/>
                <w:b w:val="0"/>
                <w:sz w:val="20"/>
              </w:rPr>
              <w:t>Lock/badge config; visitor logs; list reviews</w:t>
            </w:r>
          </w:p>
        </w:tc>
      </w:tr>
      <w:tr>
        <w:tc>
          <w:tcPr>
            <w:tcW w:type="dxa" w:w="3360"/>
          </w:tcPr>
          <w:p>
            <w:r/>
            <w:r>
              <w:rPr>
                <w:rFonts w:ascii="Arial" w:hAnsi="Arial"/>
                <w:b w:val="0"/>
                <w:sz w:val="20"/>
              </w:rPr>
              <w:t>03.10.08  Access Control for Transmission</w:t>
            </w:r>
          </w:p>
        </w:tc>
        <w:tc>
          <w:tcPr>
            <w:tcW w:type="dxa" w:w="3360"/>
          </w:tcPr>
          <w:p>
            <w:r/>
            <w:r>
              <w:rPr>
                <w:rFonts w:ascii="Arial" w:hAnsi="Arial"/>
                <w:b w:val="0"/>
                <w:sz w:val="20"/>
              </w:rPr>
              <w:t>PS-6 — protect cabling/equipment</w:t>
            </w:r>
          </w:p>
        </w:tc>
        <w:tc>
          <w:tcPr>
            <w:tcW w:type="dxa" w:w="3360"/>
          </w:tcPr>
          <w:p>
            <w:r/>
            <w:r>
              <w:rPr>
                <w:rFonts w:ascii="Arial" w:hAnsi="Arial"/>
                <w:b w:val="0"/>
                <w:sz w:val="20"/>
              </w:rPr>
              <w:t>Physical protection of cabling/output devices</w:t>
            </w:r>
          </w:p>
        </w:tc>
      </w:tr>
    </w:tbl>
    <w:p/>
    <w:p>
      <w:pPr>
        <w:spacing w:before="200" w:after="80"/>
      </w:pPr>
      <w:r>
        <w:rPr>
          <w:rFonts w:ascii="Arial" w:hAnsi="Arial"/>
          <w:b/>
          <w:color w:val="2E5FA3"/>
          <w:sz w:val="26"/>
        </w:rPr>
        <w:t>11.  Revision History</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shd w:val="clear" w:color="auto" w:fill="1B3A6B"/>
          </w:tcPr>
          <w:p>
            <w:r/>
            <w:r>
              <w:rPr>
                <w:rFonts w:ascii="Arial" w:hAnsi="Arial"/>
                <w:b/>
                <w:color w:val="FFFFFF"/>
                <w:sz w:val="20"/>
              </w:rPr>
              <w:t>Version</w:t>
            </w:r>
          </w:p>
        </w:tc>
        <w:tc>
          <w:tcPr>
            <w:tcW w:type="dxa" w:w="2520"/>
            <w:shd w:val="clear" w:color="auto" w:fill="1B3A6B"/>
          </w:tcPr>
          <w:p>
            <w:r/>
            <w:r>
              <w:rPr>
                <w:rFonts w:ascii="Arial" w:hAnsi="Arial"/>
                <w:b/>
                <w:color w:val="FFFFFF"/>
                <w:sz w:val="20"/>
              </w:rPr>
              <w:t>Date</w:t>
            </w:r>
          </w:p>
        </w:tc>
        <w:tc>
          <w:tcPr>
            <w:tcW w:type="dxa" w:w="2520"/>
            <w:shd w:val="clear" w:color="auto" w:fill="1B3A6B"/>
          </w:tcPr>
          <w:p>
            <w:r/>
            <w:r>
              <w:rPr>
                <w:rFonts w:ascii="Arial" w:hAnsi="Arial"/>
                <w:b/>
                <w:color w:val="FFFFFF"/>
                <w:sz w:val="20"/>
              </w:rPr>
              <w:t>Author / Role</w:t>
            </w:r>
          </w:p>
        </w:tc>
        <w:tc>
          <w:tcPr>
            <w:tcW w:type="dxa" w:w="2520"/>
            <w:shd w:val="clear" w:color="auto" w:fill="1B3A6B"/>
          </w:tcPr>
          <w:p>
            <w:r/>
            <w:r>
              <w:rPr>
                <w:rFonts w:ascii="Arial" w:hAnsi="Arial"/>
                <w:b/>
                <w:color w:val="FFFFFF"/>
                <w:sz w:val="20"/>
              </w:rPr>
              <w:t>Summary of Changes</w:t>
            </w:r>
          </w:p>
        </w:tc>
      </w:tr>
      <w:tr>
        <w:tc>
          <w:tcPr>
            <w:tcW w:type="dxa" w:w="2520"/>
          </w:tcPr>
          <w:p>
            <w:r/>
            <w:r>
              <w:rPr>
                <w:rFonts w:ascii="Arial" w:hAnsi="Arial"/>
                <w:b w:val="0"/>
                <w:sz w:val="20"/>
              </w:rPr>
              <w:t>1.0</w:t>
            </w:r>
          </w:p>
        </w:tc>
        <w:tc>
          <w:tcPr>
            <w:tcW w:type="dxa" w:w="2520"/>
          </w:tcPr>
          <w:p>
            <w:r/>
            <w:r>
              <w:rPr>
                <w:rFonts w:ascii="Arial" w:hAnsi="Arial"/>
                <w:b w:val="0"/>
                <w:sz w:val="20"/>
              </w:rPr>
              <w:t>[YYYY-MM-DD]</w:t>
            </w:r>
          </w:p>
        </w:tc>
        <w:tc>
          <w:tcPr>
            <w:tcW w:type="dxa" w:w="2520"/>
          </w:tcPr>
          <w:p>
            <w:r/>
            <w:r>
              <w:rPr>
                <w:rFonts w:ascii="Arial" w:hAnsi="Arial"/>
                <w:b w:val="0"/>
                <w:sz w:val="20"/>
              </w:rPr>
              <w:t>[IT Manager / ISSO]</w:t>
            </w:r>
          </w:p>
        </w:tc>
        <w:tc>
          <w:tcPr>
            <w:tcW w:type="dxa" w:w="2520"/>
          </w:tcPr>
          <w:p>
            <w:r/>
            <w:r>
              <w:rPr>
                <w:rFonts w:ascii="Arial" w:hAnsi="Arial"/>
                <w:b w:val="0"/>
                <w:sz w:val="20"/>
              </w:rPr>
              <w:t>Initial policy release.</w:t>
            </w:r>
          </w:p>
        </w:tc>
      </w:tr>
    </w:tbl>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spacing w:before="80"/>
      <w:jc w:val="center"/>
    </w:pPr>
    <w:r>
      <w:rPr>
        <w:rFonts w:ascii="Arial" w:cs="Arial" w:eastAsia="Arial" w:hAnsi="Arial"/>
        <w:i/>
        <w:iCs/>
        <w:color w:val="8096B0"/>
        <w:sz w:val="15"/>
        <w:szCs w:val="15"/>
      </w:rPr>
      <w:t xml:space="preserve">CONFIDENTIAL — For internal use only. Review annually or upon significant change.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spacing w:after="80"/>
      <w:jc w:val="right"/>
    </w:pPr>
    <w:r>
      <w:rPr>
        <w:rFonts w:ascii="Arial" w:cs="Arial" w:eastAsia="Arial" w:hAnsi="Arial"/>
        <w:color w:val="8096B0"/>
        <w:sz w:val="16"/>
        <w:szCs w:val="16"/>
      </w:rPr>
      <w:t xml:space="preserve">[Organization Name]  |  Access Control Policy  |  v[1.0]  |  </w:t>
    </w:r>
    <w:r>
      <w:rPr>
        <w:rFonts w:ascii="Arial" w:cs="Arial" w:eastAsia="Arial" w:hAnsi="Arial"/>
        <w:color w:val="8096B0"/>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PS-%1."/>
      <w:lvlJc w:val="left"/>
      <w:pPr>
        <w:ind w:left="700" w:hanging="40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2026-06-06T13:50:17.851Z</dcterms:created>
  <dcterms:modified xsi:type="dcterms:W3CDTF">2026-06-06T13:50:17.852Z</dcterms:modified>
</cp:coreProperties>
</file>

<file path=docProps/custom.xml><?xml version="1.0" encoding="utf-8"?>
<Properties xmlns="http://schemas.openxmlformats.org/officeDocument/2006/custom-properties" xmlns:vt="http://schemas.openxmlformats.org/officeDocument/2006/docPropsVTypes"/>
</file>