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tcPr>
          <w:p>
            <w:r/>
            <w:r>
              <w:rPr>
                <w:rFonts w:ascii="Arial" w:hAnsi="Arial"/>
                <w:b w:val="0"/>
                <w:sz w:val="20"/>
              </w:rPr>
              <w:t>[INSERT ORGANIZATION LOGO]</w:t>
            </w:r>
          </w:p>
        </w:tc>
        <w:tc>
          <w:tcPr>
            <w:tcW w:type="dxa" w:w="5040"/>
          </w:tcPr>
          <w:p>
            <w:r/>
            <w:r>
              <w:rPr>
                <w:rFonts w:ascii="Arial" w:hAnsi="Arial"/>
                <w:b/>
                <w:sz w:val="24"/>
              </w:rPr>
              <w:t>[Nom de l'organisation]</w:t>
            </w:r>
          </w:p>
          <w:p>
            <w:r>
              <w:rPr>
                <w:rFonts w:ascii="Arial" w:hAnsi="Arial"/>
                <w:b/>
                <w:color w:val="2E5FA3"/>
                <w:sz w:val="28"/>
              </w:rPr>
              <w:t>Politique de protection physique</w:t>
            </w:r>
          </w:p>
        </w:tc>
      </w:tr>
    </w:tbl>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c>
          <w:tcPr>
            <w:tcW w:type="dxa" w:w="2520"/>
            <w:shd w:val="clear" w:color="auto" w:fill="1B3A6B"/>
          </w:tcPr>
          <w:p>
            <w:r/>
            <w:r>
              <w:rPr>
                <w:rFonts w:ascii="Arial" w:hAnsi="Arial"/>
                <w:b/>
                <w:color w:val="FFFFFF"/>
                <w:sz w:val="20"/>
              </w:rPr>
              <w:t>Champ</w:t>
            </w:r>
          </w:p>
        </w:tc>
        <w:tc>
          <w:tcPr>
            <w:tcW w:type="dxa" w:w="2520"/>
            <w:shd w:val="clear" w:color="auto" w:fill="1B3A6B"/>
          </w:tcPr>
          <w:p>
            <w:r/>
            <w:r>
              <w:rPr>
                <w:rFonts w:ascii="Arial" w:hAnsi="Arial"/>
                <w:b/>
                <w:color w:val="FFFFFF"/>
                <w:sz w:val="20"/>
              </w:rPr>
              <w:t>Valeur</w:t>
            </w:r>
          </w:p>
        </w:tc>
      </w:tr>
      <w:tr>
        <w:tc>
          <w:tcPr>
            <w:tcW w:type="dxa" w:w="2520"/>
          </w:tcPr>
          <w:p>
            <w:r/>
            <w:r>
              <w:rPr>
                <w:rFonts w:ascii="Arial" w:hAnsi="Arial"/>
                <w:b w:val="0"/>
                <w:sz w:val="20"/>
              </w:rPr>
              <w:t>Nom de la politique</w:t>
            </w:r>
          </w:p>
        </w:tc>
        <w:tc>
          <w:tcPr>
            <w:tcW w:type="dxa" w:w="2520"/>
          </w:tcPr>
          <w:p>
            <w:r/>
            <w:r>
              <w:rPr>
                <w:rFonts w:ascii="Arial" w:hAnsi="Arial"/>
                <w:b w:val="0"/>
                <w:sz w:val="20"/>
              </w:rPr>
              <w:t>Politique de protection physique</w:t>
            </w:r>
          </w:p>
        </w:tc>
        <w:tc>
          <w:tcPr>
            <w:tcW w:type="dxa" w:w="2520"/>
          </w:tcPr>
          <w:p>
            <w:r/>
            <w:r>
              <w:rPr>
                <w:rFonts w:ascii="Arial" w:hAnsi="Arial"/>
                <w:b w:val="0"/>
                <w:sz w:val="20"/>
              </w:rPr>
              <w:t>Version</w:t>
            </w:r>
          </w:p>
        </w:tc>
        <w:tc>
          <w:tcPr>
            <w:tcW w:type="dxa" w:w="2520"/>
          </w:tcPr>
          <w:p>
            <w:r/>
            <w:r>
              <w:rPr>
                <w:rFonts w:ascii="Arial" w:hAnsi="Arial"/>
                <w:b w:val="0"/>
                <w:sz w:val="20"/>
              </w:rPr>
              <w:t>[1.0]</w:t>
            </w:r>
          </w:p>
        </w:tc>
      </w:tr>
      <w:tr>
        <w:tc>
          <w:tcPr>
            <w:tcW w:type="dxa" w:w="2520"/>
          </w:tcPr>
          <w:p>
            <w:r/>
            <w:r>
              <w:rPr>
                <w:rFonts w:ascii="Arial" w:hAnsi="Arial"/>
                <w:b w:val="0"/>
                <w:sz w:val="20"/>
              </w:rPr>
              <w:t>Propriétaire de la politique</w:t>
            </w:r>
          </w:p>
        </w:tc>
        <w:tc>
          <w:tcPr>
            <w:tcW w:type="dxa" w:w="2520"/>
          </w:tcPr>
          <w:p>
            <w:r/>
            <w:r>
              <w:rPr>
                <w:rFonts w:ascii="Arial" w:hAnsi="Arial"/>
                <w:b w:val="0"/>
                <w:sz w:val="20"/>
              </w:rPr>
              <w:t>[Gestionnaire TI / ISSO]</w:t>
            </w:r>
          </w:p>
        </w:tc>
        <w:tc>
          <w:tcPr>
            <w:tcW w:type="dxa" w:w="2520"/>
          </w:tcPr>
          <w:p>
            <w:r/>
            <w:r>
              <w:rPr>
                <w:rFonts w:ascii="Arial" w:hAnsi="Arial"/>
                <w:b w:val="0"/>
                <w:sz w:val="20"/>
              </w:rPr>
              <w:t>Approuvée par</w:t>
            </w:r>
          </w:p>
        </w:tc>
        <w:tc>
          <w:tcPr>
            <w:tcW w:type="dxa" w:w="2520"/>
          </w:tcPr>
          <w:p>
            <w:r/>
            <w:r>
              <w:rPr>
                <w:rFonts w:ascii="Arial" w:hAnsi="Arial"/>
                <w:b w:val="0"/>
                <w:sz w:val="20"/>
              </w:rPr>
              <w:t>[PDG / RSSI]</w:t>
            </w:r>
          </w:p>
        </w:tc>
      </w:tr>
      <w:tr>
        <w:tc>
          <w:tcPr>
            <w:tcW w:type="dxa" w:w="2520"/>
          </w:tcPr>
          <w:p>
            <w:r/>
            <w:r>
              <w:rPr>
                <w:rFonts w:ascii="Arial" w:hAnsi="Arial"/>
                <w:b w:val="0"/>
                <w:sz w:val="20"/>
              </w:rPr>
              <w:t>Date d'entrée en vigueur</w:t>
            </w:r>
          </w:p>
        </w:tc>
        <w:tc>
          <w:tcPr>
            <w:tcW w:type="dxa" w:w="2520"/>
          </w:tcPr>
          <w:p>
            <w:r/>
            <w:r>
              <w:rPr>
                <w:rFonts w:ascii="Arial" w:hAnsi="Arial"/>
                <w:b w:val="0"/>
                <w:sz w:val="20"/>
              </w:rPr>
              <w:t>[AAAA-MM-JJ]</w:t>
            </w:r>
          </w:p>
        </w:tc>
        <w:tc>
          <w:tcPr>
            <w:tcW w:type="dxa" w:w="2520"/>
          </w:tcPr>
          <w:p>
            <w:r/>
            <w:r>
              <w:rPr>
                <w:rFonts w:ascii="Arial" w:hAnsi="Arial"/>
                <w:b w:val="0"/>
                <w:sz w:val="20"/>
              </w:rPr>
              <w:t>Dernière révision</w:t>
            </w:r>
          </w:p>
        </w:tc>
        <w:tc>
          <w:tcPr>
            <w:tcW w:type="dxa" w:w="2520"/>
          </w:tcPr>
          <w:p>
            <w:r/>
            <w:r>
              <w:rPr>
                <w:rFonts w:ascii="Arial" w:hAnsi="Arial"/>
                <w:b w:val="0"/>
                <w:sz w:val="20"/>
              </w:rPr>
              <w:t>[AAAA-MM-JJ]</w:t>
            </w:r>
          </w:p>
        </w:tc>
      </w:tr>
      <w:tr>
        <w:tc>
          <w:tcPr>
            <w:tcW w:type="dxa" w:w="2520"/>
          </w:tcPr>
          <w:p>
            <w:r/>
            <w:r>
              <w:rPr>
                <w:rFonts w:ascii="Arial" w:hAnsi="Arial"/>
                <w:b w:val="0"/>
                <w:sz w:val="20"/>
              </w:rPr>
              <w:t>Fréquence de révision</w:t>
            </w:r>
          </w:p>
        </w:tc>
        <w:tc>
          <w:tcPr>
            <w:tcW w:type="dxa" w:w="2520"/>
          </w:tcPr>
          <w:p>
            <w:r/>
            <w:r>
              <w:rPr>
                <w:rFonts w:ascii="Arial" w:hAnsi="Arial"/>
                <w:b w:val="0"/>
                <w:sz w:val="20"/>
              </w:rPr>
              <w:t>Annuelle (ou lors d'un changement majeur)</w:t>
            </w:r>
          </w:p>
        </w:tc>
        <w:tc>
          <w:tcPr>
            <w:tcW w:type="dxa" w:w="2520"/>
          </w:tcPr>
          <w:p>
            <w:r/>
            <w:r>
              <w:rPr>
                <w:rFonts w:ascii="Arial" w:hAnsi="Arial"/>
                <w:b w:val="0"/>
                <w:sz w:val="20"/>
              </w:rPr>
              <w:t>Classification</w:t>
            </w:r>
          </w:p>
        </w:tc>
        <w:tc>
          <w:tcPr>
            <w:tcW w:type="dxa" w:w="2520"/>
          </w:tcPr>
          <w:p>
            <w:r/>
            <w:r>
              <w:rPr>
                <w:rFonts w:ascii="Arial" w:hAnsi="Arial"/>
                <w:b w:val="0"/>
                <w:sz w:val="20"/>
              </w:rPr>
              <w:t>[CUI / Interne]</w:t>
            </w:r>
          </w:p>
        </w:tc>
      </w:tr>
    </w:tbl>
    <w:p/>
    <w:p>
      <w:pPr>
        <w:spacing w:before="200" w:after="80"/>
      </w:pPr>
      <w:r>
        <w:rPr>
          <w:rFonts w:ascii="Arial" w:hAnsi="Arial"/>
          <w:b/>
          <w:color w:val="2E5FA3"/>
          <w:sz w:val="26"/>
        </w:rPr>
        <w:t>1.  Objet</w:t>
      </w:r>
    </w:p>
    <w:p>
      <w:r>
        <w:rPr>
          <w:rFonts w:ascii="Arial" w:hAnsi="Arial"/>
          <w:sz w:val="21"/>
        </w:rPr>
        <w:t>La présente politique établit comment [Nom de l'organisation] contrôle l'accès physique aux installations, à l'équipement et à l'infrastructure de soutien qui abritent les systèmes et l'information contrôlée non classifiée (CUI). Les contrôles logiques peuvent être contournés si un attaquant obtient un accès physique. Cette politique garantit que seules les personnes autorisées peuvent atteindre physiquement les systèmes contenant des CUI, que l'accès est surveillé et que les scénarios hors site et de transmission sont pris en compte.</w:t>
      </w:r>
    </w:p>
    <w:p>
      <w:pPr>
        <w:spacing w:before="200" w:after="80"/>
      </w:pPr>
      <w:r>
        <w:rPr>
          <w:rFonts w:ascii="Arial" w:hAnsi="Arial"/>
          <w:b/>
          <w:color w:val="2E5FA3"/>
          <w:sz w:val="26"/>
        </w:rPr>
        <w:t>2.  Portée</w:t>
      </w:r>
    </w:p>
    <w:p>
      <w:r>
        <w:rPr>
          <w:rFonts w:ascii="Arial" w:hAnsi="Arial"/>
          <w:sz w:val="21"/>
        </w:rPr>
        <w:t>La présente politique s'applique à :</w:t>
      </w:r>
    </w:p>
    <w:p>
      <w:pPr>
        <w:ind w:left="360"/>
      </w:pPr>
      <w:r>
        <w:rPr>
          <w:rFonts w:ascii="Arial" w:hAnsi="Arial"/>
          <w:sz w:val="21"/>
        </w:rPr>
        <w:t>•  Toutes les installations, zones de travail, salles de serveurs/réseau et équipements qui stockent ou traitent des CUI.</w:t>
      </w:r>
    </w:p>
    <w:p>
      <w:pPr>
        <w:ind w:left="360"/>
      </w:pPr>
      <w:r>
        <w:rPr>
          <w:rFonts w:ascii="Arial" w:hAnsi="Arial"/>
          <w:sz w:val="21"/>
        </w:rPr>
        <w:t>•  Les visiteurs et tiers nécessitant un accès physique.</w:t>
      </w:r>
    </w:p>
    <w:p>
      <w:pPr>
        <w:ind w:left="360"/>
      </w:pPr>
      <w:r>
        <w:rPr>
          <w:rFonts w:ascii="Arial" w:hAnsi="Arial"/>
          <w:sz w:val="21"/>
        </w:rPr>
        <w:t>•  Les sites de travail alternatifs et la protection des lignes/équipements de transmission des CUI lorsque applicable.</w:t>
      </w:r>
    </w:p>
    <w:p>
      <w:r>
        <w:rPr>
          <w:rFonts w:ascii="Arial" w:hAnsi="Arial"/>
          <w:sz w:val="21"/>
        </w:rPr>
        <w:t>Lorsque des CUI sont en cause, les exigences de la présente politique sont obligatoires et prévalent sur la commodité ou les préférences opérationnelles.</w:t>
      </w:r>
    </w:p>
    <w:p>
      <w:pPr>
        <w:spacing w:before="200" w:after="80"/>
      </w:pPr>
      <w:r>
        <w:rPr>
          <w:rFonts w:ascii="Arial" w:hAnsi="Arial"/>
          <w:b/>
          <w:color w:val="2E5FA3"/>
          <w:sz w:val="26"/>
        </w:rPr>
        <w:t>3.  Définitions</w:t>
      </w:r>
    </w:p>
    <w:p>
      <w:r>
        <w:rPr>
          <w:rFonts w:ascii="Arial" w:hAnsi="Arial"/>
          <w:b/>
          <w:sz w:val="21"/>
        </w:rPr>
        <w:t xml:space="preserve">Zone contrôlée: </w:t>
      </w:r>
      <w:r>
        <w:rPr>
          <w:rFonts w:ascii="Arial" w:hAnsi="Arial"/>
          <w:sz w:val="21"/>
        </w:rPr>
        <w:t>Un espace dont l'accès est limité aux personnes autorisées.</w:t>
      </w:r>
    </w:p>
    <w:p>
      <w:r>
        <w:rPr>
          <w:rFonts w:ascii="Arial" w:hAnsi="Arial"/>
          <w:b/>
          <w:sz w:val="21"/>
        </w:rPr>
        <w:t xml:space="preserve">Autorisation d'accès physique: </w:t>
      </w:r>
      <w:r>
        <w:rPr>
          <w:rFonts w:ascii="Arial" w:hAnsi="Arial"/>
          <w:sz w:val="21"/>
        </w:rPr>
        <w:t>Droit approuvé d'une personne d'entrer dans une zone contrôlée.</w:t>
      </w:r>
    </w:p>
    <w:p>
      <w:r>
        <w:rPr>
          <w:rFonts w:ascii="Arial" w:hAnsi="Arial"/>
          <w:b/>
          <w:sz w:val="21"/>
        </w:rPr>
        <w:t xml:space="preserve">Visiteur: </w:t>
      </w:r>
      <w:r>
        <w:rPr>
          <w:rFonts w:ascii="Arial" w:hAnsi="Arial"/>
          <w:sz w:val="21"/>
        </w:rPr>
        <w:t>Une personne sans autorisation d'accès physique permanente.</w:t>
      </w:r>
    </w:p>
    <w:p>
      <w:r>
        <w:rPr>
          <w:rFonts w:ascii="Arial" w:hAnsi="Arial"/>
          <w:b/>
          <w:sz w:val="21"/>
        </w:rPr>
        <w:t xml:space="preserve">Site de travail alternatif: </w:t>
      </w:r>
      <w:r>
        <w:rPr>
          <w:rFonts w:ascii="Arial" w:hAnsi="Arial"/>
          <w:sz w:val="21"/>
        </w:rPr>
        <w:t>Un lieu hors des installations principales (p. ex. bureau à domicile) où le travail est effectué.</w:t>
      </w:r>
    </w:p>
    <w:p>
      <w:pPr>
        <w:spacing w:before="200" w:after="80"/>
      </w:pPr>
      <w:r>
        <w:rPr>
          <w:rFonts w:ascii="Arial" w:hAnsi="Arial"/>
          <w:b/>
          <w:color w:val="2E5FA3"/>
          <w:sz w:val="26"/>
        </w:rPr>
        <w:t>4.  Rôles et responsabilités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5040"/>
        <w:gridCol w:w="5040"/>
      </w:tblGrid>
      <w:tr>
        <w:tc>
          <w:tcPr>
            <w:tcW w:type="dxa" w:w="5040"/>
            <w:shd w:val="clear" w:color="auto" w:fill="1B3A6B"/>
          </w:tcPr>
          <w:p>
            <w:r/>
            <w:r>
              <w:rPr>
                <w:rFonts w:ascii="Arial" w:hAnsi="Arial"/>
                <w:b/>
                <w:color w:val="FFFFFF"/>
                <w:sz w:val="20"/>
              </w:rPr>
              <w:t>Rôle</w:t>
            </w:r>
          </w:p>
        </w:tc>
        <w:tc>
          <w:tcPr>
            <w:tcW w:type="dxa" w:w="5040"/>
            <w:shd w:val="clear" w:color="auto" w:fill="1B3A6B"/>
          </w:tcPr>
          <w:p>
            <w:r/>
            <w:r>
              <w:rPr>
                <w:rFonts w:ascii="Arial" w:hAnsi="Arial"/>
                <w:b/>
                <w:color w:val="FFFFFF"/>
                <w:sz w:val="20"/>
              </w:rPr>
              <w:t>Principales responsabilités</w:t>
            </w:r>
          </w:p>
        </w:tc>
      </w:tr>
      <w:tr>
        <w:tc>
          <w:tcPr>
            <w:tcW w:type="dxa" w:w="5040"/>
          </w:tcPr>
          <w:p>
            <w:r/>
            <w:r>
              <w:rPr>
                <w:rFonts w:ascii="Arial" w:hAnsi="Arial"/>
                <w:b w:val="0"/>
                <w:sz w:val="20"/>
              </w:rPr>
              <w:t>[Gestionnaire TI / ISSO] / Installations</w:t>
            </w:r>
          </w:p>
        </w:tc>
        <w:tc>
          <w:tcPr>
            <w:tcW w:type="dxa" w:w="5040"/>
          </w:tcPr>
          <w:p>
            <w:r/>
            <w:r>
              <w:rPr>
                <w:rFonts w:ascii="Arial" w:hAnsi="Arial"/>
                <w:b w:val="0"/>
                <w:sz w:val="20"/>
              </w:rPr>
              <w:t>Être propriétaire de la politique; autoriser l'accès physique; tenir les listes d'accès; superviser la surveillance.</w:t>
            </w:r>
          </w:p>
        </w:tc>
      </w:tr>
      <w:tr>
        <w:tc>
          <w:tcPr>
            <w:tcW w:type="dxa" w:w="5040"/>
          </w:tcPr>
          <w:p>
            <w:r/>
            <w:r>
              <w:rPr>
                <w:rFonts w:ascii="Arial" w:hAnsi="Arial"/>
                <w:b w:val="0"/>
                <w:sz w:val="20"/>
              </w:rPr>
              <w:t>[Administrateur système]</w:t>
            </w:r>
          </w:p>
        </w:tc>
        <w:tc>
          <w:tcPr>
            <w:tcW w:type="dxa" w:w="5040"/>
          </w:tcPr>
          <w:p>
            <w:r/>
            <w:r>
              <w:rPr>
                <w:rFonts w:ascii="Arial" w:hAnsi="Arial"/>
                <w:b w:val="0"/>
                <w:sz w:val="20"/>
              </w:rPr>
              <w:t>Protéger l'équipement dans les zones contrôlées; gérer l'accès aux salles de serveurs/réseau.</w:t>
            </w:r>
          </w:p>
        </w:tc>
      </w:tr>
      <w:tr>
        <w:tc>
          <w:tcPr>
            <w:tcW w:type="dxa" w:w="5040"/>
          </w:tcPr>
          <w:p>
            <w:r/>
            <w:r>
              <w:rPr>
                <w:rFonts w:ascii="Arial" w:hAnsi="Arial"/>
                <w:b w:val="0"/>
                <w:sz w:val="20"/>
              </w:rPr>
              <w:t>Tous les utilisateurs</w:t>
            </w:r>
          </w:p>
        </w:tc>
        <w:tc>
          <w:tcPr>
            <w:tcW w:type="dxa" w:w="5040"/>
          </w:tcPr>
          <w:p>
            <w:r/>
            <w:r>
              <w:rPr>
                <w:rFonts w:ascii="Arial" w:hAnsi="Arial"/>
                <w:b w:val="0"/>
                <w:sz w:val="20"/>
              </w:rPr>
              <w:t>Suivre les règles de sécurité physique; interpeller/escorter les visiteurs; protéger les CUI aux sites alternatifs; signaler les incidents.</w:t>
            </w:r>
          </w:p>
        </w:tc>
      </w:tr>
      <w:tr>
        <w:tc>
          <w:tcPr>
            <w:tcW w:type="dxa" w:w="5040"/>
          </w:tcPr>
          <w:p>
            <w:r/>
            <w:r>
              <w:rPr>
                <w:rFonts w:ascii="Arial" w:hAnsi="Arial"/>
                <w:b w:val="0"/>
                <w:sz w:val="20"/>
              </w:rPr>
              <w:t>[Haute direction / RSSI]</w:t>
            </w:r>
          </w:p>
        </w:tc>
        <w:tc>
          <w:tcPr>
            <w:tcW w:type="dxa" w:w="5040"/>
          </w:tcPr>
          <w:p>
            <w:r/>
            <w:r>
              <w:rPr>
                <w:rFonts w:ascii="Arial" w:hAnsi="Arial"/>
                <w:b w:val="0"/>
                <w:sz w:val="20"/>
              </w:rPr>
              <w:t>Approuver la politique; accepter le risque résiduel pour les exceptions documentées.</w:t>
            </w:r>
          </w:p>
        </w:tc>
      </w:tr>
    </w:tbl>
    <w:p/>
    <w:p>
      <w:pPr>
        <w:spacing w:before="200" w:after="80"/>
      </w:pPr>
      <w:r>
        <w:rPr>
          <w:rFonts w:ascii="Arial" w:hAnsi="Arial"/>
          <w:b/>
          <w:color w:val="2E5FA3"/>
          <w:sz w:val="26"/>
        </w:rPr>
        <w:t>5.  Énoncés de politique</w:t>
      </w:r>
    </w:p>
    <w:p>
      <w:r>
        <w:rPr>
          <w:rFonts w:ascii="Arial" w:hAnsi="Arial"/>
          <w:b/>
          <w:color w:val="2E5FA3"/>
          <w:sz w:val="21"/>
        </w:rPr>
        <w:t>PS-1  Autorisations d'accès physique</w:t>
      </w:r>
    </w:p>
    <w:p>
      <w:r>
        <w:rPr>
          <w:rFonts w:ascii="Arial" w:hAnsi="Arial"/>
          <w:sz w:val="21"/>
        </w:rPr>
        <w:t>L'accès physique aux zones contrôlées abritant des systèmes contenant des CUI doit être limité aux personnes autorisées au moyen d'une liste approuvée, les justificatifs (badges/clés) étant émis et révoqués par un processus contrôlé.</w:t>
      </w:r>
    </w:p>
    <w:p>
      <w:r>
        <w:rPr>
          <w:rFonts w:ascii="Arial" w:hAnsi="Arial"/>
          <w:b/>
          <w:color w:val="2E5FA3"/>
          <w:sz w:val="21"/>
        </w:rPr>
        <w:t>PS-2  Contrôle d'accès physique</w:t>
      </w:r>
    </w:p>
    <w:p>
      <w:r>
        <w:rPr>
          <w:rFonts w:ascii="Arial" w:hAnsi="Arial"/>
          <w:sz w:val="21"/>
        </w:rPr>
        <w:t>L'entrée dans les zones contrôlées doit être appliquée par serrures, lecteurs de badge ou l'équivalent, et les listes d'accès révisées [défini par l'organisation : au moins trimestriellement; recommandé : trimestriellement].</w:t>
      </w:r>
    </w:p>
    <w:p>
      <w:r>
        <w:rPr>
          <w:rFonts w:ascii="Arial" w:hAnsi="Arial"/>
          <w:b/>
          <w:color w:val="2E5FA3"/>
          <w:sz w:val="21"/>
        </w:rPr>
        <w:t>PS-3  Surveillance de l'accès physique</w:t>
      </w:r>
    </w:p>
    <w:p>
      <w:r>
        <w:rPr>
          <w:rFonts w:ascii="Arial" w:hAnsi="Arial"/>
          <w:sz w:val="21"/>
        </w:rPr>
        <w:t>L'accès physique doit être surveillé (p. ex. journaux, alarmes, vidéo lorsque approprié) et tout accès non autorisé investigué.</w:t>
      </w:r>
    </w:p>
    <w:p>
      <w:r>
        <w:rPr>
          <w:rFonts w:ascii="Arial" w:hAnsi="Arial"/>
          <w:b/>
          <w:color w:val="2E5FA3"/>
          <w:sz w:val="21"/>
        </w:rPr>
        <w:t>PS-4  Contrôle des visiteurs</w:t>
      </w:r>
    </w:p>
    <w:p>
      <w:r>
        <w:rPr>
          <w:rFonts w:ascii="Arial" w:hAnsi="Arial"/>
          <w:sz w:val="21"/>
        </w:rPr>
        <w:t>Les visiteurs doivent être identifiés, autorisés, consignés et escortés dans les zones contrôlées; les registres de visiteurs doivent être conservés.</w:t>
      </w:r>
    </w:p>
    <w:p>
      <w:r>
        <w:rPr>
          <w:rFonts w:ascii="Arial" w:hAnsi="Arial"/>
          <w:b/>
          <w:color w:val="2E5FA3"/>
          <w:sz w:val="21"/>
        </w:rPr>
        <w:t>PS-5  Sites de travail alternatifs</w:t>
      </w:r>
    </w:p>
    <w:p>
      <w:r>
        <w:rPr>
          <w:rFonts w:ascii="Arial" w:hAnsi="Arial"/>
          <w:sz w:val="21"/>
        </w:rPr>
        <w:t>Les CUI consultés ou stockés aux sites de travail alternatifs (p. ex. télétravail) doivent être protégés par des mesures équivalentes (rangement verrouillé, écran de confidentialité, chiffrement des appareils).</w:t>
      </w:r>
    </w:p>
    <w:p>
      <w:r>
        <w:rPr>
          <w:rFonts w:ascii="Arial" w:hAnsi="Arial"/>
          <w:b/>
          <w:color w:val="2E5FA3"/>
          <w:sz w:val="21"/>
        </w:rPr>
        <w:t>PS-6  Protection des dispositifs de transmission et de sortie</w:t>
      </w:r>
    </w:p>
    <w:p>
      <w:r>
        <w:rPr>
          <w:rFonts w:ascii="Arial" w:hAnsi="Arial"/>
          <w:sz w:val="21"/>
        </w:rPr>
        <w:t>Le câblage, l'équipement réseau et les dispositifs de sortie (p. ex. imprimantes) traitant des CUI doivent être protégés contre l'accès physique non autorisé et l'interception lorsque applicable.</w:t>
      </w:r>
    </w:p>
    <w:p>
      <w:pPr>
        <w:spacing w:before="200" w:after="80"/>
      </w:pPr>
      <w:r>
        <w:rPr>
          <w:rFonts w:ascii="Arial" w:hAnsi="Arial"/>
          <w:b/>
          <w:color w:val="2E5FA3"/>
          <w:sz w:val="26"/>
        </w:rPr>
        <w:t>6.  Procédures et preuves d'audit</w:t>
      </w:r>
    </w:p>
    <w:p>
      <w:r>
        <w:rPr>
          <w:rFonts w:ascii="Arial" w:hAnsi="Arial"/>
          <w:sz w:val="21"/>
        </w:rPr>
        <w:t>6.1  Accès et surveillance</w:t>
      </w:r>
    </w:p>
    <w:p>
      <w:pPr>
        <w:ind w:left="360"/>
      </w:pPr>
      <w:r>
        <w:rPr>
          <w:rFonts w:ascii="Arial" w:hAnsi="Arial"/>
          <w:sz w:val="21"/>
        </w:rPr>
        <w:t>•  Tenir les listes d'accès autorisé; émettre/révoquer les badges; réviser les listes trimestriellement.</w:t>
      </w:r>
    </w:p>
    <w:p>
      <w:pPr>
        <w:ind w:left="360"/>
      </w:pPr>
      <w:r>
        <w:rPr>
          <w:rFonts w:ascii="Arial" w:hAnsi="Arial"/>
          <w:sz w:val="21"/>
        </w:rPr>
        <w:t>•  Surveiller l'accès; consigner et investiguer les anomalies.</w:t>
      </w:r>
    </w:p>
    <w:p>
      <w:r>
        <w:rPr>
          <w:rFonts w:ascii="Arial" w:hAnsi="Arial"/>
          <w:b/>
          <w:sz w:val="21"/>
        </w:rPr>
        <w:t xml:space="preserve">Preuves d'audit : </w:t>
      </w:r>
      <w:r>
        <w:rPr>
          <w:rFonts w:ascii="Arial" w:hAnsi="Arial"/>
          <w:sz w:val="21"/>
        </w:rPr>
        <w:t>Listes d'accès (datées); émission/révocation de badges; journaux d'accès; approbations de revue.</w:t>
      </w:r>
    </w:p>
    <w:p>
      <w:r>
        <w:rPr>
          <w:rFonts w:ascii="Arial" w:hAnsi="Arial"/>
          <w:sz w:val="21"/>
        </w:rPr>
        <w:t>6.2  Visiteurs et télétravail</w:t>
      </w:r>
    </w:p>
    <w:p>
      <w:pPr>
        <w:ind w:left="360"/>
      </w:pPr>
      <w:r>
        <w:rPr>
          <w:rFonts w:ascii="Arial" w:hAnsi="Arial"/>
          <w:sz w:val="21"/>
        </w:rPr>
        <w:t>•  Consigner et escorter les visiteurs dans les zones contrôlées.</w:t>
      </w:r>
    </w:p>
    <w:p>
      <w:pPr>
        <w:ind w:left="360"/>
      </w:pPr>
      <w:r>
        <w:rPr>
          <w:rFonts w:ascii="Arial" w:hAnsi="Arial"/>
          <w:sz w:val="21"/>
        </w:rPr>
        <w:t>•  Fournir les mesures de protection des sites alternatifs et les accusés de réception.</w:t>
      </w:r>
    </w:p>
    <w:p>
      <w:r>
        <w:rPr>
          <w:rFonts w:ascii="Arial" w:hAnsi="Arial"/>
          <w:b/>
          <w:sz w:val="21"/>
        </w:rPr>
        <w:t xml:space="preserve">Preuves d'audit : </w:t>
      </w:r>
      <w:r>
        <w:rPr>
          <w:rFonts w:ascii="Arial" w:hAnsi="Arial"/>
          <w:sz w:val="21"/>
        </w:rPr>
        <w:t>Registres de visiteurs; accusés de sécurité du télétravail.</w:t>
      </w:r>
    </w:p>
    <w:p>
      <w:pPr>
        <w:spacing w:before="200" w:after="80"/>
      </w:pPr>
      <w:r>
        <w:rPr>
          <w:rFonts w:ascii="Arial" w:hAnsi="Arial"/>
          <w:b/>
          <w:color w:val="2E5FA3"/>
          <w:sz w:val="26"/>
        </w:rPr>
        <w:t>7.  Conformité, surveillance et application</w:t>
      </w:r>
    </w:p>
    <w:p>
      <w:r>
        <w:rPr>
          <w:rFonts w:ascii="Arial" w:hAnsi="Arial"/>
          <w:sz w:val="21"/>
        </w:rPr>
        <w:t>Le [Gestionnaire TI / ISSO] doit examiner la conformité à la présente politique au moins [trimestriellement] en vérifiant que les listes d'accès sont à jour et révisées, que les zones contrôlées sont physiquement sécurisées et surveillées, que les visiteurs sont escortés et consignés, et que les sites alternatifs sont protégés. Les résultats doivent être communiqués à la [haute direction / au RSSI].</w:t>
      </w:r>
    </w:p>
    <w:p>
      <w:r>
        <w:rPr>
          <w:rFonts w:ascii="Arial" w:hAnsi="Arial"/>
          <w:sz w:val="21"/>
        </w:rPr>
        <w:t>Les manquements peuvent entraîner :</w:t>
      </w:r>
    </w:p>
    <w:p>
      <w:pPr>
        <w:ind w:left="360"/>
      </w:pPr>
      <w:r>
        <w:rPr>
          <w:rFonts w:ascii="Arial" w:hAnsi="Arial"/>
          <w:sz w:val="21"/>
        </w:rPr>
        <w:t>•  La correction de la lacune dans un délai fixé par le propriétaire de la politique en fonction du risque.</w:t>
      </w:r>
    </w:p>
    <w:p>
      <w:pPr>
        <w:ind w:left="360"/>
      </w:pPr>
      <w:r>
        <w:rPr>
          <w:rFonts w:ascii="Arial" w:hAnsi="Arial"/>
          <w:sz w:val="21"/>
        </w:rPr>
        <w:t>•  Des mesures disciplinaires pouvant aller jusqu'au congédiement ou à la résiliation du contrat, conformément aux procédures disciplinaires de [Nom de l'organisation].</w:t>
      </w:r>
    </w:p>
    <w:p>
      <w:pPr>
        <w:ind w:left="360"/>
      </w:pPr>
      <w:r>
        <w:rPr>
          <w:rFonts w:ascii="Arial" w:hAnsi="Arial"/>
          <w:sz w:val="21"/>
        </w:rPr>
        <w:t>•  Un renvoi aux forces de l'ordre et un avis aux agents de contrats gouvernementaux lorsque des CUI ou une activité criminelle sont en cause, comme l'exige le contrat ou le règlement applicable.</w:t>
      </w:r>
    </w:p>
    <w:p>
      <w:pPr>
        <w:spacing w:before="200" w:after="80"/>
      </w:pPr>
      <w:r>
        <w:rPr>
          <w:rFonts w:ascii="Arial" w:hAnsi="Arial"/>
          <w:b/>
          <w:color w:val="2E5FA3"/>
          <w:sz w:val="26"/>
        </w:rPr>
        <w:t>8.  Exceptions</w:t>
      </w:r>
    </w:p>
    <w:p>
      <w:r>
        <w:rPr>
          <w:rFonts w:ascii="Arial" w:hAnsi="Arial"/>
          <w:sz w:val="21"/>
        </w:rPr>
        <w:t>Les exceptions à la présente politique doivent demeurer rares. Pour en demander une :</w:t>
      </w:r>
    </w:p>
    <w:p>
      <w:pPr>
        <w:ind w:left="360"/>
      </w:pPr>
      <w:r>
        <w:rPr>
          <w:rFonts w:ascii="Arial" w:hAnsi="Arial"/>
          <w:sz w:val="21"/>
        </w:rPr>
        <w:t>•  Le demandeur soumet une demande d'exception écrite au propriétaire de la politique décrivant l'exigence qui ne peut être respectée, la justification d'affaires, le risque introduit et les contrôles compensatoires proposés.</w:t>
      </w:r>
    </w:p>
    <w:p>
      <w:pPr>
        <w:ind w:left="360"/>
      </w:pPr>
      <w:r>
        <w:rPr>
          <w:rFonts w:ascii="Arial" w:hAnsi="Arial"/>
          <w:sz w:val="21"/>
        </w:rPr>
        <w:t>•  Le propriétaire de la politique évalue le risque et prépare une recommandation; la [haute direction / le RSSI] approuve ou refuse l'exception par écrit.</w:t>
      </w:r>
    </w:p>
    <w:p>
      <w:pPr>
        <w:ind w:left="360"/>
      </w:pPr>
      <w:r>
        <w:rPr>
          <w:rFonts w:ascii="Arial" w:hAnsi="Arial"/>
          <w:sz w:val="21"/>
        </w:rPr>
        <w:t>•  Les exceptions approuvées sont consignées au registre des exceptions avec une expiration d'au plus [défini par l'organisation : 12 mois; recommandé : 12 mois], révisées à l'échéance et reflétées comme élément d'un plan d'action et de jalons (POA&amp;M) dans le SSP lorsque des systèmes contenant des CUI sont touchés.</w:t>
      </w:r>
    </w:p>
    <w:p>
      <w:pPr>
        <w:spacing w:before="200" w:after="80"/>
      </w:pPr>
      <w:r>
        <w:rPr>
          <w:rFonts w:ascii="Arial" w:hAnsi="Arial"/>
          <w:b/>
          <w:color w:val="2E5FA3"/>
          <w:sz w:val="26"/>
        </w:rPr>
        <w:t>9.  Documents connexes</w:t>
      </w:r>
    </w:p>
    <w:p>
      <w:pPr>
        <w:ind w:left="360"/>
      </w:pPr>
      <w:r>
        <w:rPr>
          <w:rFonts w:ascii="Arial" w:hAnsi="Arial"/>
          <w:sz w:val="21"/>
        </w:rPr>
        <w:t>•  Politique de contrôle d'accès — accès logique complétant les contrôles physiques.</w:t>
      </w:r>
    </w:p>
    <w:p>
      <w:pPr>
        <w:ind w:left="360"/>
      </w:pPr>
      <w:r>
        <w:rPr>
          <w:rFonts w:ascii="Arial" w:hAnsi="Arial"/>
          <w:sz w:val="21"/>
        </w:rPr>
        <w:t>•  Politique de protection des supports — stockage physique des supports CUI.</w:t>
      </w:r>
    </w:p>
    <w:p>
      <w:pPr>
        <w:ind w:left="360"/>
      </w:pPr>
      <w:r>
        <w:rPr>
          <w:rFonts w:ascii="Arial" w:hAnsi="Arial"/>
          <w:sz w:val="21"/>
        </w:rPr>
        <w:t>•  Politique de protection des systèmes et des communications — protection des lignes de transmission.</w:t>
      </w:r>
    </w:p>
    <w:p>
      <w:pPr>
        <w:ind w:left="360"/>
      </w:pPr>
      <w:r>
        <w:rPr>
          <w:rFonts w:ascii="Arial" w:hAnsi="Arial"/>
          <w:sz w:val="21"/>
        </w:rPr>
        <w:t>•  Plan de sécurité du système (SSP) — contexte des installations et des CUI.</w:t>
      </w:r>
    </w:p>
    <w:p>
      <w:pPr>
        <w:spacing w:before="200" w:after="80"/>
      </w:pPr>
      <w:r>
        <w:rPr>
          <w:rFonts w:ascii="Arial" w:hAnsi="Arial"/>
          <w:b/>
          <w:color w:val="2E5FA3"/>
          <w:sz w:val="26"/>
        </w:rPr>
        <w:t>10.  Correspondance des contrôles</w:t>
      </w:r>
    </w:p>
    <w:p>
      <w:r>
        <w:rPr>
          <w:rFonts w:ascii="Arial" w:hAnsi="Arial"/>
          <w:sz w:val="21"/>
        </w:rPr>
        <w:t>Les identifiants proviennent du NIST SP 800-171 Rev 3 (famille 03.10); ils s'appliquent également au CMMC 2.0 niveau 2 et à l'ITSP.10.171 (CPCSC).</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3360"/>
        <w:gridCol w:w="3360"/>
        <w:gridCol w:w="3360"/>
      </w:tblGrid>
      <w:tr>
        <w:tc>
          <w:tcPr>
            <w:tcW w:type="dxa" w:w="3360"/>
            <w:shd w:val="clear" w:color="auto" w:fill="1B3A6B"/>
          </w:tcPr>
          <w:p>
            <w:r/>
            <w:r>
              <w:rPr>
                <w:rFonts w:ascii="Arial" w:hAnsi="Arial"/>
                <w:b/>
                <w:color w:val="FFFFFF"/>
                <w:sz w:val="20"/>
              </w:rPr>
              <w:t>ID du contrôle</w:t>
            </w:r>
          </w:p>
        </w:tc>
        <w:tc>
          <w:tcPr>
            <w:tcW w:type="dxa" w:w="3360"/>
            <w:shd w:val="clear" w:color="auto" w:fill="1B3A6B"/>
          </w:tcPr>
          <w:p>
            <w:r/>
            <w:r>
              <w:rPr>
                <w:rFonts w:ascii="Arial" w:hAnsi="Arial"/>
                <w:b/>
                <w:color w:val="FFFFFF"/>
                <w:sz w:val="20"/>
              </w:rPr>
              <w:t>Énoncé(s) de politique</w:t>
            </w:r>
          </w:p>
        </w:tc>
        <w:tc>
          <w:tcPr>
            <w:tcW w:type="dxa" w:w="3360"/>
            <w:shd w:val="clear" w:color="auto" w:fill="1B3A6B"/>
          </w:tcPr>
          <w:p>
            <w:r/>
            <w:r>
              <w:rPr>
                <w:rFonts w:ascii="Arial" w:hAnsi="Arial"/>
                <w:b/>
                <w:color w:val="FFFFFF"/>
                <w:sz w:val="20"/>
              </w:rPr>
              <w:t>Preuves d'audit attendues</w:t>
            </w:r>
          </w:p>
        </w:tc>
      </w:tr>
      <w:tr>
        <w:tc>
          <w:tcPr>
            <w:tcW w:type="dxa" w:w="3360"/>
          </w:tcPr>
          <w:p>
            <w:r/>
            <w:r>
              <w:rPr>
                <w:rFonts w:ascii="Arial" w:hAnsi="Arial"/>
                <w:b w:val="0"/>
                <w:sz w:val="20"/>
              </w:rPr>
              <w:t>03.10.01  Autorisations d'accès physique</w:t>
            </w:r>
          </w:p>
        </w:tc>
        <w:tc>
          <w:tcPr>
            <w:tcW w:type="dxa" w:w="3360"/>
          </w:tcPr>
          <w:p>
            <w:r/>
            <w:r>
              <w:rPr>
                <w:rFonts w:ascii="Arial" w:hAnsi="Arial"/>
                <w:b w:val="0"/>
                <w:sz w:val="20"/>
              </w:rPr>
              <w:t>PS-1 — liste d'accès autorisé</w:t>
            </w:r>
          </w:p>
        </w:tc>
        <w:tc>
          <w:tcPr>
            <w:tcW w:type="dxa" w:w="3360"/>
          </w:tcPr>
          <w:p>
            <w:r/>
            <w:r>
              <w:rPr>
                <w:rFonts w:ascii="Arial" w:hAnsi="Arial"/>
                <w:b w:val="0"/>
                <w:sz w:val="20"/>
              </w:rPr>
              <w:t>Listes d'accès; registres d'émission de badges</w:t>
            </w:r>
          </w:p>
        </w:tc>
      </w:tr>
      <w:tr>
        <w:tc>
          <w:tcPr>
            <w:tcW w:type="dxa" w:w="3360"/>
          </w:tcPr>
          <w:p>
            <w:r/>
            <w:r>
              <w:rPr>
                <w:rFonts w:ascii="Arial" w:hAnsi="Arial"/>
                <w:b w:val="0"/>
                <w:sz w:val="20"/>
              </w:rPr>
              <w:t>03.10.02  Surveillance de l'accès physique</w:t>
            </w:r>
          </w:p>
        </w:tc>
        <w:tc>
          <w:tcPr>
            <w:tcW w:type="dxa" w:w="3360"/>
          </w:tcPr>
          <w:p>
            <w:r/>
            <w:r>
              <w:rPr>
                <w:rFonts w:ascii="Arial" w:hAnsi="Arial"/>
                <w:b w:val="0"/>
                <w:sz w:val="20"/>
              </w:rPr>
              <w:t>PS-3 — surveillance</w:t>
            </w:r>
          </w:p>
        </w:tc>
        <w:tc>
          <w:tcPr>
            <w:tcW w:type="dxa" w:w="3360"/>
          </w:tcPr>
          <w:p>
            <w:r/>
            <w:r>
              <w:rPr>
                <w:rFonts w:ascii="Arial" w:hAnsi="Arial"/>
                <w:b w:val="0"/>
                <w:sz w:val="20"/>
              </w:rPr>
              <w:t>Journaux d'accès; registres d'alarme/vidéo</w:t>
            </w:r>
          </w:p>
        </w:tc>
      </w:tr>
      <w:tr>
        <w:tc>
          <w:tcPr>
            <w:tcW w:type="dxa" w:w="3360"/>
          </w:tcPr>
          <w:p>
            <w:r/>
            <w:r>
              <w:rPr>
                <w:rFonts w:ascii="Arial" w:hAnsi="Arial"/>
                <w:b w:val="0"/>
                <w:sz w:val="20"/>
              </w:rPr>
              <w:t>03.10.06  Site de travail alternatif</w:t>
            </w:r>
          </w:p>
        </w:tc>
        <w:tc>
          <w:tcPr>
            <w:tcW w:type="dxa" w:w="3360"/>
          </w:tcPr>
          <w:p>
            <w:r/>
            <w:r>
              <w:rPr>
                <w:rFonts w:ascii="Arial" w:hAnsi="Arial"/>
                <w:b w:val="0"/>
                <w:sz w:val="20"/>
              </w:rPr>
              <w:t>PS-5 — mesures pour sites alternatifs</w:t>
            </w:r>
          </w:p>
        </w:tc>
        <w:tc>
          <w:tcPr>
            <w:tcW w:type="dxa" w:w="3360"/>
          </w:tcPr>
          <w:p>
            <w:r/>
            <w:r>
              <w:rPr>
                <w:rFonts w:ascii="Arial" w:hAnsi="Arial"/>
                <w:b w:val="0"/>
                <w:sz w:val="20"/>
              </w:rPr>
              <w:t>Accusés de télétravail; mesures de protection</w:t>
            </w:r>
          </w:p>
        </w:tc>
      </w:tr>
      <w:tr>
        <w:tc>
          <w:tcPr>
            <w:tcW w:type="dxa" w:w="3360"/>
          </w:tcPr>
          <w:p>
            <w:r/>
            <w:r>
              <w:rPr>
                <w:rFonts w:ascii="Arial" w:hAnsi="Arial"/>
                <w:b w:val="0"/>
                <w:sz w:val="20"/>
              </w:rPr>
              <w:t>03.10.07  Contrôle d'accès physique</w:t>
            </w:r>
          </w:p>
        </w:tc>
        <w:tc>
          <w:tcPr>
            <w:tcW w:type="dxa" w:w="3360"/>
          </w:tcPr>
          <w:p>
            <w:r/>
            <w:r>
              <w:rPr>
                <w:rFonts w:ascii="Arial" w:hAnsi="Arial"/>
                <w:b w:val="0"/>
                <w:sz w:val="20"/>
              </w:rPr>
              <w:t>PS-2, PS-4 — entrée appliquée; contrôle des visiteurs</w:t>
            </w:r>
          </w:p>
        </w:tc>
        <w:tc>
          <w:tcPr>
            <w:tcW w:type="dxa" w:w="3360"/>
          </w:tcPr>
          <w:p>
            <w:r/>
            <w:r>
              <w:rPr>
                <w:rFonts w:ascii="Arial" w:hAnsi="Arial"/>
                <w:b w:val="0"/>
                <w:sz w:val="20"/>
              </w:rPr>
              <w:t>Config serrures/badges; registres de visiteurs; revues de listes</w:t>
            </w:r>
          </w:p>
        </w:tc>
      </w:tr>
      <w:tr>
        <w:tc>
          <w:tcPr>
            <w:tcW w:type="dxa" w:w="3360"/>
          </w:tcPr>
          <w:p>
            <w:r/>
            <w:r>
              <w:rPr>
                <w:rFonts w:ascii="Arial" w:hAnsi="Arial"/>
                <w:b w:val="0"/>
                <w:sz w:val="20"/>
              </w:rPr>
              <w:t>03.10.08  Contrôle d'accès pour la transmission</w:t>
            </w:r>
          </w:p>
        </w:tc>
        <w:tc>
          <w:tcPr>
            <w:tcW w:type="dxa" w:w="3360"/>
          </w:tcPr>
          <w:p>
            <w:r/>
            <w:r>
              <w:rPr>
                <w:rFonts w:ascii="Arial" w:hAnsi="Arial"/>
                <w:b w:val="0"/>
                <w:sz w:val="20"/>
              </w:rPr>
              <w:t>PS-6 — protéger câblage/équipement</w:t>
            </w:r>
          </w:p>
        </w:tc>
        <w:tc>
          <w:tcPr>
            <w:tcW w:type="dxa" w:w="3360"/>
          </w:tcPr>
          <w:p>
            <w:r/>
            <w:r>
              <w:rPr>
                <w:rFonts w:ascii="Arial" w:hAnsi="Arial"/>
                <w:b w:val="0"/>
                <w:sz w:val="20"/>
              </w:rPr>
              <w:t>Protection physique du câblage/des dispositifs de sortie</w:t>
            </w:r>
          </w:p>
        </w:tc>
      </w:tr>
    </w:tbl>
    <w:p/>
    <w:p>
      <w:pPr>
        <w:spacing w:before="200" w:after="80"/>
      </w:pPr>
      <w:r>
        <w:rPr>
          <w:rFonts w:ascii="Arial" w:hAnsi="Arial"/>
          <w:b/>
          <w:color w:val="2E5FA3"/>
          <w:sz w:val="26"/>
        </w:rPr>
        <w:t>11.  Historique des révisions</w:t>
      </w:r>
    </w:p>
    <w:tbl>
      <w:tblPr>
        <w:tblW w:type="auto" w:w="0"/>
        <w:tblLook w:firstColumn="1" w:firstRow="1" w:lastColumn="0" w:lastRow="0" w:noHBand="0" w:noVBand="1" w:val="04A0"/>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tblGrid>
        <w:gridCol w:w="2520"/>
        <w:gridCol w:w="2520"/>
        <w:gridCol w:w="2520"/>
        <w:gridCol w:w="2520"/>
      </w:tblGrid>
      <w:tr>
        <w:tc>
          <w:tcPr>
            <w:tcW w:type="dxa" w:w="2520"/>
            <w:shd w:val="clear" w:color="auto" w:fill="1B3A6B"/>
          </w:tcPr>
          <w:p>
            <w:r/>
            <w:r>
              <w:rPr>
                <w:rFonts w:ascii="Arial" w:hAnsi="Arial"/>
                <w:b/>
                <w:color w:val="FFFFFF"/>
                <w:sz w:val="20"/>
              </w:rPr>
              <w:t>Version</w:t>
            </w:r>
          </w:p>
        </w:tc>
        <w:tc>
          <w:tcPr>
            <w:tcW w:type="dxa" w:w="2520"/>
            <w:shd w:val="clear" w:color="auto" w:fill="1B3A6B"/>
          </w:tcPr>
          <w:p>
            <w:r/>
            <w:r>
              <w:rPr>
                <w:rFonts w:ascii="Arial" w:hAnsi="Arial"/>
                <w:b/>
                <w:color w:val="FFFFFF"/>
                <w:sz w:val="20"/>
              </w:rPr>
              <w:t>Date</w:t>
            </w:r>
          </w:p>
        </w:tc>
        <w:tc>
          <w:tcPr>
            <w:tcW w:type="dxa" w:w="2520"/>
            <w:shd w:val="clear" w:color="auto" w:fill="1B3A6B"/>
          </w:tcPr>
          <w:p>
            <w:r/>
            <w:r>
              <w:rPr>
                <w:rFonts w:ascii="Arial" w:hAnsi="Arial"/>
                <w:b/>
                <w:color w:val="FFFFFF"/>
                <w:sz w:val="20"/>
              </w:rPr>
              <w:t>Auteur / Rôle</w:t>
            </w:r>
          </w:p>
        </w:tc>
        <w:tc>
          <w:tcPr>
            <w:tcW w:type="dxa" w:w="2520"/>
            <w:shd w:val="clear" w:color="auto" w:fill="1B3A6B"/>
          </w:tcPr>
          <w:p>
            <w:r/>
            <w:r>
              <w:rPr>
                <w:rFonts w:ascii="Arial" w:hAnsi="Arial"/>
                <w:b/>
                <w:color w:val="FFFFFF"/>
                <w:sz w:val="20"/>
              </w:rPr>
              <w:t>Résumé des modifications</w:t>
            </w:r>
          </w:p>
        </w:tc>
      </w:tr>
      <w:tr>
        <w:tc>
          <w:tcPr>
            <w:tcW w:type="dxa" w:w="2520"/>
          </w:tcPr>
          <w:p>
            <w:r/>
            <w:r>
              <w:rPr>
                <w:rFonts w:ascii="Arial" w:hAnsi="Arial"/>
                <w:b w:val="0"/>
                <w:sz w:val="20"/>
              </w:rPr>
              <w:t>1.0</w:t>
            </w:r>
          </w:p>
        </w:tc>
        <w:tc>
          <w:tcPr>
            <w:tcW w:type="dxa" w:w="2520"/>
          </w:tcPr>
          <w:p>
            <w:r/>
            <w:r>
              <w:rPr>
                <w:rFonts w:ascii="Arial" w:hAnsi="Arial"/>
                <w:b w:val="0"/>
                <w:sz w:val="20"/>
              </w:rPr>
              <w:t>[AAAA-MM-JJ]</w:t>
            </w:r>
          </w:p>
        </w:tc>
        <w:tc>
          <w:tcPr>
            <w:tcW w:type="dxa" w:w="2520"/>
          </w:tcPr>
          <w:p>
            <w:r/>
            <w:r>
              <w:rPr>
                <w:rFonts w:ascii="Arial" w:hAnsi="Arial"/>
                <w:b w:val="0"/>
                <w:sz w:val="20"/>
              </w:rPr>
              <w:t>[Gestionnaire TI / ISSO]</w:t>
            </w:r>
          </w:p>
        </w:tc>
        <w:tc>
          <w:tcPr>
            <w:tcW w:type="dxa" w:w="2520"/>
          </w:tcPr>
          <w:p>
            <w:r/>
            <w:r>
              <w:rPr>
                <w:rFonts w:ascii="Arial" w:hAnsi="Arial"/>
                <w:b w:val="0"/>
                <w:sz w:val="20"/>
              </w:rPr>
              <w:t>Publication initiale de la politique.</w:t>
            </w:r>
          </w:p>
        </w:tc>
      </w:tr>
    </w:tbl>
    <w:p/>
    <w:sectPr>
      <w:headerReference w:type="default" r:id="rId7"/>
      <w:footerReference w:type="default" r:id="rId8"/>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2E5FA3" w:sz="4" w:space="1"/>
      </w:pBdr>
      <w:spacing w:before="80"/>
      <w:jc w:val="center"/>
    </w:pPr>
    <w:r>
      <w:rPr>
        <w:rFonts w:ascii="Arial" w:cs="Arial" w:eastAsia="Arial" w:hAnsi="Arial"/>
        <w:i/>
        <w:iCs/>
        <w:color w:val="8096B0"/>
        <w:sz w:val="15"/>
        <w:szCs w:val="15"/>
      </w:rPr>
      <w:t xml:space="preserve">CONFIDENTIAL — For internal use only. Review annually or upon significant change.</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5FA3" w:sz="4" w:space="1"/>
      </w:pBdr>
      <w:spacing w:after="80"/>
      <w:jc w:val="right"/>
    </w:pPr>
    <w:r>
      <w:rPr>
        <w:rFonts w:ascii="Arial" w:cs="Arial" w:eastAsia="Arial" w:hAnsi="Arial"/>
        <w:color w:val="8096B0"/>
        <w:sz w:val="16"/>
        <w:szCs w:val="16"/>
      </w:rPr>
      <w:t xml:space="preserve">[Organization Name]  |  Access Control Policy  |  v[1.0]  |  </w:t>
    </w:r>
    <w:r>
      <w:rPr>
        <w:rFonts w:ascii="Arial" w:cs="Arial" w:eastAsia="Arial" w:hAnsi="Arial"/>
        <w:color w:val="8096B0"/>
        <w:sz w:val="16"/>
        <w:szCs w:val="16"/>
      </w:rPr>
      <w:t xml:space="preserve"/>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600" w:hanging="300"/>
      </w:pPr>
    </w:lvl>
    <w:lvl w:ilvl="1" w15:tentative="1">
      <w:start w:val="1"/>
      <w:numFmt w:val="bullet"/>
      <w:lvlText w:val="○"/>
      <w:lvlJc w:val="left"/>
      <w:pPr>
        <w:ind w:left="1000" w:hanging="300"/>
      </w:pPr>
    </w:lvl>
  </w:abstractNum>
  <w:abstractNum w:abstractNumId="3" w15:restartNumberingAfterBreak="0">
    <w:multiLevelType w:val="hybridMultilevel"/>
    <w:lvl w:ilvl="0" w15:tentative="1">
      <w:start w:val="1"/>
      <w:numFmt w:val="decimal"/>
      <w:lvlText w:val="PS-%1."/>
      <w:lvlJc w:val="left"/>
      <w:pPr>
        <w:ind w:left="700" w:hanging="400"/>
      </w:pPr>
    </w:lvl>
  </w:abstractNum>
  <w:abstractNum w:abstractNumId="4" w15:restartNumberingAfterBreak="0">
    <w:multiLevelType w:val="hybridMultilevel"/>
    <w:lvl w:ilvl="0" w15:tentative="1">
      <w:start w:val="1"/>
      <w:numFmt w:val="decimal"/>
      <w:lvlText w:val="%1."/>
      <w:lvlJc w:val="left"/>
      <w:pPr>
        <w:ind w:left="60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1A"/>
        <w:sz w:val="20"/>
        <w:szCs w:val="20"/>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200"/>
      <w:outlineLvl w:val="0"/>
    </w:pPr>
    <w:rPr>
      <w:rFonts w:ascii="Arial" w:cs="Arial" w:eastAsia="Arial" w:hAnsi="Arial"/>
      <w:b/>
      <w:bCs/>
      <w:color w:val="1B3A6B"/>
      <w:sz w:val="36"/>
      <w:szCs w:val="36"/>
    </w:rPr>
  </w:style>
  <w:style w:type="paragraph" w:styleId="Heading2">
    <w:name w:val="Heading 2"/>
    <w:basedOn w:val="Normal"/>
    <w:next w:val="Normal"/>
    <w:qFormat/>
    <w:pPr>
      <w:spacing w:after="120" w:before="280"/>
      <w:outlineLvl w:val="1"/>
    </w:pPr>
    <w:rPr>
      <w:rFonts w:ascii="Arial" w:cs="Arial" w:eastAsia="Arial" w:hAnsi="Arial"/>
      <w:b/>
      <w:bCs/>
      <w:color w:val="2E5FA3"/>
      <w:sz w:val="26"/>
      <w:szCs w:val="26"/>
    </w:rPr>
  </w:style>
</w:styles>
</file>

<file path=word/_rels/document.xml.rels><?xml version='1.0' encoding='UTF-8' standalone='yes'?>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2026-06-06T13:50:17.851Z</dcterms:created>
  <dcterms:modified xsi:type="dcterms:W3CDTF">2026-06-06T13:50:17.852Z</dcterms:modified>
</cp:coreProperties>
</file>

<file path=docProps/custom.xml><?xml version="1.0" encoding="utf-8"?>
<Properties xmlns="http://schemas.openxmlformats.org/officeDocument/2006/custom-properties" xmlns:vt="http://schemas.openxmlformats.org/officeDocument/2006/docPropsVTypes"/>
</file>