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d'évaluation des risques</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d'évaluation des risques</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cerne, évalue, priorise et traite les risques de cybersécurité pour ses opérations, ses actifs et les personnes, y compris les risques pour l'information contrôlée non classifiée (CUI), de façon récurrente. L'évaluation des risques concentre des ressources limitées sur les menaces les plus importantes et oriente les décisions de correction. Cette politique relie la gestion des vulnérabilités à la prise de décision fondée sur le risque.</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systèmes, processus et relations avec des tiers qui touchent la confidentialité, l'intégrité ou la disponibilité des CUI.</w:t>
      </w:r>
    </w:p>
    <w:p>
      <w:pPr>
        <w:ind w:left="360"/>
      </w:pPr>
      <w:r>
        <w:rPr>
          <w:rFonts w:ascii="Arial" w:hAnsi="Arial"/>
          <w:sz w:val="21"/>
        </w:rPr>
        <w:t>•  Les évaluations des risques récurrentes et ponctuelles et l'analyse des vulnérabilités.</w:t>
      </w:r>
    </w:p>
    <w:p>
      <w:pPr>
        <w:ind w:left="360"/>
      </w:pPr>
      <w:r>
        <w:rPr>
          <w:rFonts w:ascii="Arial" w:hAnsi="Arial"/>
          <w:sz w:val="21"/>
        </w:rPr>
        <w:t>•  Les décisions de réponse au risque et de correction.</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Risque: </w:t>
      </w:r>
      <w:r>
        <w:rPr>
          <w:rFonts w:ascii="Arial" w:hAnsi="Arial"/>
          <w:sz w:val="21"/>
        </w:rPr>
        <w:t>La probabilité et l'impact qu'une menace exploite une vulnérabilité.</w:t>
      </w:r>
    </w:p>
    <w:p>
      <w:r>
        <w:rPr>
          <w:rFonts w:ascii="Arial" w:hAnsi="Arial"/>
          <w:b/>
          <w:sz w:val="21"/>
        </w:rPr>
        <w:t xml:space="preserve">Évaluation des risques: </w:t>
      </w:r>
      <w:r>
        <w:rPr>
          <w:rFonts w:ascii="Arial" w:hAnsi="Arial"/>
          <w:sz w:val="21"/>
        </w:rPr>
        <w:t>Une analyse structurée des menaces, vulnérabilités, probabilité et impact.</w:t>
      </w:r>
    </w:p>
    <w:p>
      <w:r>
        <w:rPr>
          <w:rFonts w:ascii="Arial" w:hAnsi="Arial"/>
          <w:b/>
          <w:sz w:val="21"/>
        </w:rPr>
        <w:t xml:space="preserve">Vulnérabilité: </w:t>
      </w:r>
      <w:r>
        <w:rPr>
          <w:rFonts w:ascii="Arial" w:hAnsi="Arial"/>
          <w:sz w:val="21"/>
        </w:rPr>
        <w:t>Une faiblesse qui pourrait être exploitée pour compromettre un système.</w:t>
      </w:r>
    </w:p>
    <w:p>
      <w:r>
        <w:rPr>
          <w:rFonts w:ascii="Arial" w:hAnsi="Arial"/>
          <w:b/>
          <w:sz w:val="21"/>
        </w:rPr>
        <w:t xml:space="preserve">Réponse au risque: </w:t>
      </w:r>
      <w:r>
        <w:rPr>
          <w:rFonts w:ascii="Arial" w:hAnsi="Arial"/>
          <w:sz w:val="21"/>
        </w:rPr>
        <w:t>La décision d'atténuer, de transférer, d'éviter ou d'accepter un risque.</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mener/superviser les évaluations et l'analyse; prioriser la correction; signaler le risque à la direction.</w:t>
            </w:r>
          </w:p>
        </w:tc>
      </w:tr>
      <w:tr>
        <w:tc>
          <w:tcPr>
            <w:tcW w:type="dxa" w:w="5040"/>
          </w:tcPr>
          <w:p>
            <w:r/>
            <w:r>
              <w:rPr>
                <w:rFonts w:ascii="Arial" w:hAnsi="Arial"/>
                <w:b w:val="0"/>
                <w:sz w:val="20"/>
              </w:rPr>
              <w:t>[Administrateur système]</w:t>
            </w:r>
          </w:p>
        </w:tc>
        <w:tc>
          <w:tcPr>
            <w:tcW w:type="dxa" w:w="5040"/>
          </w:tcPr>
          <w:p>
            <w:r/>
            <w:r>
              <w:rPr>
                <w:rFonts w:ascii="Arial" w:hAnsi="Arial"/>
                <w:b w:val="0"/>
                <w:sz w:val="20"/>
              </w:rPr>
              <w:t>Exécuter les analyses de vulnérabilités; corriger les constats; fournir l'information des systèmes.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accepter ou orienter la réponse au risque résiduel; fournir les ressources.</w:t>
            </w:r>
          </w:p>
        </w:tc>
      </w:tr>
      <w:tr>
        <w:tc>
          <w:tcPr>
            <w:tcW w:type="dxa" w:w="5040"/>
          </w:tcPr>
          <w:p>
            <w:r/>
            <w:r>
              <w:rPr>
                <w:rFonts w:ascii="Arial" w:hAnsi="Arial"/>
                <w:b w:val="0"/>
                <w:sz w:val="20"/>
              </w:rPr>
              <w:t>Tous les utilisateurs</w:t>
            </w:r>
          </w:p>
        </w:tc>
        <w:tc>
          <w:tcPr>
            <w:tcW w:type="dxa" w:w="5040"/>
          </w:tcPr>
          <w:p>
            <w:r/>
            <w:r>
              <w:rPr>
                <w:rFonts w:ascii="Arial" w:hAnsi="Arial"/>
                <w:b w:val="0"/>
                <w:sz w:val="20"/>
              </w:rPr>
              <w:t>Signaler les risques et faiblesses observés.</w:t>
            </w:r>
          </w:p>
        </w:tc>
      </w:tr>
    </w:tbl>
    <w:p/>
    <w:p>
      <w:pPr>
        <w:spacing w:before="200" w:after="80"/>
      </w:pPr>
      <w:r>
        <w:rPr>
          <w:rFonts w:ascii="Arial" w:hAnsi="Arial"/>
          <w:b/>
          <w:color w:val="2E5FA3"/>
          <w:sz w:val="26"/>
        </w:rPr>
        <w:t>5.  Énoncés de politique</w:t>
      </w:r>
    </w:p>
    <w:p>
      <w:r>
        <w:rPr>
          <w:rFonts w:ascii="Arial" w:hAnsi="Arial"/>
          <w:b/>
          <w:color w:val="2E5FA3"/>
          <w:sz w:val="21"/>
        </w:rPr>
        <w:t>PS-1  Évaluation des risques récurrente</w:t>
      </w:r>
    </w:p>
    <w:p>
      <w:r>
        <w:rPr>
          <w:rFonts w:ascii="Arial" w:hAnsi="Arial"/>
          <w:sz w:val="21"/>
        </w:rPr>
        <w:t>[Nom de l'organisation] doit réaliser une évaluation des risques documentée des systèmes traitant des CUI [défini par l'organisation : au moins annuellement et lors d'un changement important; recommandé : annuellement], consignant les menaces, vulnérabilités, probabilité et impact.</w:t>
      </w:r>
    </w:p>
    <w:p>
      <w:r>
        <w:rPr>
          <w:rFonts w:ascii="Arial" w:hAnsi="Arial"/>
          <w:b/>
          <w:color w:val="2E5FA3"/>
          <w:sz w:val="21"/>
        </w:rPr>
        <w:t>PS-2  Surveillance et analyse des vulnérabilités</w:t>
      </w:r>
    </w:p>
    <w:p>
      <w:r>
        <w:rPr>
          <w:rFonts w:ascii="Arial" w:hAnsi="Arial"/>
          <w:sz w:val="21"/>
        </w:rPr>
        <w:t>Les systèmes doivent être analysés à la recherche de vulnérabilités selon un calendrier défini et après tout changement important; les résultats doivent être suivis jusqu'à résolution avec des délais selon la gravité.</w:t>
      </w:r>
    </w:p>
    <w:p>
      <w:r>
        <w:rPr>
          <w:rFonts w:ascii="Arial" w:hAnsi="Arial"/>
          <w:b/>
          <w:color w:val="2E5FA3"/>
          <w:sz w:val="21"/>
        </w:rPr>
        <w:t>PS-3  Priorisation des risques</w:t>
      </w:r>
    </w:p>
    <w:p>
      <w:r>
        <w:rPr>
          <w:rFonts w:ascii="Arial" w:hAnsi="Arial"/>
          <w:sz w:val="21"/>
        </w:rPr>
        <w:t>Les risques et vulnérabilités identifiés doivent être priorisés selon le risque (impact × probabilité, en tenant compte de l'efficacité des contrôles) pour cibler la correction.</w:t>
      </w:r>
    </w:p>
    <w:p>
      <w:r>
        <w:rPr>
          <w:rFonts w:ascii="Arial" w:hAnsi="Arial"/>
          <w:b/>
          <w:color w:val="2E5FA3"/>
          <w:sz w:val="21"/>
        </w:rPr>
        <w:t>PS-4  Réponse et correction du risque</w:t>
      </w:r>
    </w:p>
    <w:p>
      <w:r>
        <w:rPr>
          <w:rFonts w:ascii="Arial" w:hAnsi="Arial"/>
          <w:sz w:val="21"/>
        </w:rPr>
        <w:t>Pour chaque risque important, l'organisation doit sélectionner et documenter une réponse (atténuer, transférer, éviter ou accepter) avec responsables et échéances; les risques acceptés doivent être approuvés au niveau approprié.</w:t>
      </w:r>
    </w:p>
    <w:p>
      <w:r>
        <w:rPr>
          <w:rFonts w:ascii="Arial" w:hAnsi="Arial"/>
          <w:b/>
          <w:color w:val="2E5FA3"/>
          <w:sz w:val="21"/>
        </w:rPr>
        <w:t>PS-5  Entrées sur les menaces et vulnérabilités</w:t>
      </w:r>
    </w:p>
    <w:p>
      <w:r>
        <w:rPr>
          <w:rFonts w:ascii="Arial" w:hAnsi="Arial"/>
          <w:sz w:val="21"/>
        </w:rPr>
        <w:t>Les évaluations doivent tenir compte de l'information actuelle sur les menaces, des avis des fournisseurs et de l'inventaire des composants afin d'évaluer rapidement les nouvelles vulnérabilités divulguées.</w:t>
      </w:r>
    </w:p>
    <w:p>
      <w:r>
        <w:rPr>
          <w:rFonts w:ascii="Arial" w:hAnsi="Arial"/>
          <w:b/>
          <w:color w:val="2E5FA3"/>
          <w:sz w:val="21"/>
        </w:rPr>
        <w:t>PS-6  Lien avec le POA&amp;M</w:t>
      </w:r>
    </w:p>
    <w:p>
      <w:r>
        <w:rPr>
          <w:rFonts w:ascii="Arial" w:hAnsi="Arial"/>
          <w:sz w:val="21"/>
        </w:rPr>
        <w:t>Les éléments de correction et les risques acceptés touchant des CUI doivent être reflétés dans le plan d'action et de jalons (POA&amp;M).</w:t>
      </w:r>
    </w:p>
    <w:p>
      <w:pPr>
        <w:spacing w:before="200" w:after="80"/>
      </w:pPr>
      <w:r>
        <w:rPr>
          <w:rFonts w:ascii="Arial" w:hAnsi="Arial"/>
          <w:b/>
          <w:color w:val="2E5FA3"/>
          <w:sz w:val="26"/>
        </w:rPr>
        <w:t>6.  Procédures et preuves d'audit</w:t>
      </w:r>
    </w:p>
    <w:p>
      <w:r>
        <w:rPr>
          <w:rFonts w:ascii="Arial" w:hAnsi="Arial"/>
          <w:sz w:val="21"/>
        </w:rPr>
        <w:t>6.1  Évaluation et analyse</w:t>
      </w:r>
    </w:p>
    <w:p>
      <w:pPr>
        <w:ind w:left="360"/>
      </w:pPr>
      <w:r>
        <w:rPr>
          <w:rFonts w:ascii="Arial" w:hAnsi="Arial"/>
          <w:sz w:val="21"/>
        </w:rPr>
        <w:t>•  Mener l'évaluation périodique; documenter menaces/probabilité/impact.</w:t>
      </w:r>
    </w:p>
    <w:p>
      <w:pPr>
        <w:ind w:left="360"/>
      </w:pPr>
      <w:r>
        <w:rPr>
          <w:rFonts w:ascii="Arial" w:hAnsi="Arial"/>
          <w:sz w:val="21"/>
        </w:rPr>
        <w:t>•  Analyser selon le calendrier et après les changements; suivre les constats avec des délais par gravité.</w:t>
      </w:r>
    </w:p>
    <w:p>
      <w:r>
        <w:rPr>
          <w:rFonts w:ascii="Arial" w:hAnsi="Arial"/>
          <w:b/>
          <w:sz w:val="21"/>
        </w:rPr>
        <w:t xml:space="preserve">Preuves d'audit : </w:t>
      </w:r>
      <w:r>
        <w:rPr>
          <w:rFonts w:ascii="Arial" w:hAnsi="Arial"/>
          <w:sz w:val="21"/>
        </w:rPr>
        <w:t>Rapport d'évaluation des risques (daté); rapports d'analyse; registre des vulnérabilités.</w:t>
      </w:r>
    </w:p>
    <w:p>
      <w:r>
        <w:rPr>
          <w:rFonts w:ascii="Arial" w:hAnsi="Arial"/>
          <w:sz w:val="21"/>
        </w:rPr>
        <w:t>6.2  Réponse</w:t>
      </w:r>
    </w:p>
    <w:p>
      <w:pPr>
        <w:ind w:left="360"/>
      </w:pPr>
      <w:r>
        <w:rPr>
          <w:rFonts w:ascii="Arial" w:hAnsi="Arial"/>
          <w:sz w:val="21"/>
        </w:rPr>
        <w:t>•  Prioriser et assigner la correction; documenter les décisions de réponse et les approbations.</w:t>
      </w:r>
    </w:p>
    <w:p>
      <w:pPr>
        <w:ind w:left="360"/>
      </w:pPr>
      <w:r>
        <w:rPr>
          <w:rFonts w:ascii="Arial" w:hAnsi="Arial"/>
          <w:sz w:val="21"/>
        </w:rPr>
        <w:t>•  Refléter les éléments dans le POA&amp;M.</w:t>
      </w:r>
    </w:p>
    <w:p>
      <w:r>
        <w:rPr>
          <w:rFonts w:ascii="Arial" w:hAnsi="Arial"/>
          <w:b/>
          <w:sz w:val="21"/>
        </w:rPr>
        <w:t xml:space="preserve">Preuves d'audit : </w:t>
      </w:r>
      <w:r>
        <w:rPr>
          <w:rFonts w:ascii="Arial" w:hAnsi="Arial"/>
          <w:sz w:val="21"/>
        </w:rPr>
        <w:t>Billets de correction; approbations d'acceptation du risque; POA&amp;M.</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les évaluations sont à jour, que l'analyse des vulnérabilités a lieu selon le calendrier, que les constats sont suivis jusqu'à résolution par gravité et que les réponses au risque sont documentées.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d'évaluation de la sécurité et de surveillance continue — évaluation des contrôles et POA&amp;M.</w:t>
      </w:r>
    </w:p>
    <w:p>
      <w:pPr>
        <w:ind w:left="360"/>
      </w:pPr>
      <w:r>
        <w:rPr>
          <w:rFonts w:ascii="Arial" w:hAnsi="Arial"/>
          <w:sz w:val="21"/>
        </w:rPr>
        <w:t>•  Politique d'intégrité des systèmes et de l'information — délais de correction des failles.</w:t>
      </w:r>
    </w:p>
    <w:p>
      <w:pPr>
        <w:ind w:left="360"/>
      </w:pPr>
      <w:r>
        <w:rPr>
          <w:rFonts w:ascii="Arial" w:hAnsi="Arial"/>
          <w:sz w:val="21"/>
        </w:rPr>
        <w:t>•  Politique de gestion de la configuration — inventaire alimentant l'analyse.</w:t>
      </w:r>
    </w:p>
    <w:p>
      <w:pPr>
        <w:ind w:left="360"/>
      </w:pPr>
      <w:r>
        <w:rPr>
          <w:rFonts w:ascii="Arial" w:hAnsi="Arial"/>
          <w:sz w:val="21"/>
        </w:rPr>
        <w:t>•  Politique de gestion des risques liés à la chaîne d'approvisionnement — risque des fournisseurs.</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03.11);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03.11.01  Évaluation des risques</w:t>
            </w:r>
          </w:p>
        </w:tc>
        <w:tc>
          <w:tcPr>
            <w:tcW w:type="dxa" w:w="3360"/>
          </w:tcPr>
          <w:p>
            <w:r/>
            <w:r>
              <w:rPr>
                <w:rFonts w:ascii="Arial" w:hAnsi="Arial"/>
                <w:b w:val="0"/>
                <w:sz w:val="20"/>
              </w:rPr>
              <w:t>PS-1, PS-3 — évaluation périodique et priorisée</w:t>
            </w:r>
          </w:p>
        </w:tc>
        <w:tc>
          <w:tcPr>
            <w:tcW w:type="dxa" w:w="3360"/>
          </w:tcPr>
          <w:p>
            <w:r/>
            <w:r>
              <w:rPr>
                <w:rFonts w:ascii="Arial" w:hAnsi="Arial"/>
                <w:b w:val="0"/>
                <w:sz w:val="20"/>
              </w:rPr>
              <w:t>Rapport d'évaluation des risques (daté)</w:t>
            </w:r>
          </w:p>
        </w:tc>
      </w:tr>
      <w:tr>
        <w:tc>
          <w:tcPr>
            <w:tcW w:type="dxa" w:w="3360"/>
          </w:tcPr>
          <w:p>
            <w:r/>
            <w:r>
              <w:rPr>
                <w:rFonts w:ascii="Arial" w:hAnsi="Arial"/>
                <w:b w:val="0"/>
                <w:sz w:val="20"/>
              </w:rPr>
              <w:t>03.11.02  Surveillance et analyse des vulnérabilités</w:t>
            </w:r>
          </w:p>
        </w:tc>
        <w:tc>
          <w:tcPr>
            <w:tcW w:type="dxa" w:w="3360"/>
          </w:tcPr>
          <w:p>
            <w:r/>
            <w:r>
              <w:rPr>
                <w:rFonts w:ascii="Arial" w:hAnsi="Arial"/>
                <w:b w:val="0"/>
                <w:sz w:val="20"/>
              </w:rPr>
              <w:t>PS-2, PS-5 — analyse et entrées sur les menaces</w:t>
            </w:r>
          </w:p>
        </w:tc>
        <w:tc>
          <w:tcPr>
            <w:tcW w:type="dxa" w:w="3360"/>
          </w:tcPr>
          <w:p>
            <w:r/>
            <w:r>
              <w:rPr>
                <w:rFonts w:ascii="Arial" w:hAnsi="Arial"/>
                <w:b w:val="0"/>
                <w:sz w:val="20"/>
              </w:rPr>
              <w:t>Rapports d'analyse; registre des vulnérabilités</w:t>
            </w:r>
          </w:p>
        </w:tc>
      </w:tr>
      <w:tr>
        <w:tc>
          <w:tcPr>
            <w:tcW w:type="dxa" w:w="3360"/>
          </w:tcPr>
          <w:p>
            <w:r/>
            <w:r>
              <w:rPr>
                <w:rFonts w:ascii="Arial" w:hAnsi="Arial"/>
                <w:b w:val="0"/>
                <w:sz w:val="20"/>
              </w:rPr>
              <w:t>03.11.04  Réponse au risque</w:t>
            </w:r>
          </w:p>
        </w:tc>
        <w:tc>
          <w:tcPr>
            <w:tcW w:type="dxa" w:w="3360"/>
          </w:tcPr>
          <w:p>
            <w:r/>
            <w:r>
              <w:rPr>
                <w:rFonts w:ascii="Arial" w:hAnsi="Arial"/>
                <w:b w:val="0"/>
                <w:sz w:val="20"/>
              </w:rPr>
              <w:t>PS-4, PS-6 — réponse documentée; POA&amp;M</w:t>
            </w:r>
          </w:p>
        </w:tc>
        <w:tc>
          <w:tcPr>
            <w:tcW w:type="dxa" w:w="3360"/>
          </w:tcPr>
          <w:p>
            <w:r/>
            <w:r>
              <w:rPr>
                <w:rFonts w:ascii="Arial" w:hAnsi="Arial"/>
                <w:b w:val="0"/>
                <w:sz w:val="20"/>
              </w:rPr>
              <w:t>Décisions de réponse; POA&amp;M</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