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r>
              <w:rPr>
                <w:rFonts w:ascii="Arial" w:hAnsi="Arial"/>
                <w:b w:val="0"/>
                <w:sz w:val="20"/>
              </w:rPr>
              <w:t>[INSERT ORGANIZATION LOGO]</w:t>
            </w:r>
          </w:p>
        </w:tc>
        <w:tc>
          <w:tcPr>
            <w:tcW w:type="dxa" w:w="5040"/>
          </w:tcPr>
          <w:p>
            <w:r/>
            <w:r>
              <w:rPr>
                <w:rFonts w:ascii="Arial" w:hAnsi="Arial"/>
                <w:b/>
                <w:sz w:val="24"/>
              </w:rPr>
              <w:t>[Organization Name]</w:t>
            </w:r>
          </w:p>
          <w:p>
            <w:r>
              <w:rPr>
                <w:rFonts w:ascii="Arial" w:hAnsi="Arial"/>
                <w:b/>
                <w:color w:val="2E5FA3"/>
                <w:sz w:val="28"/>
              </w:rPr>
              <w:t>Security Assessment &amp; Continuous Monitoring Policy</w:t>
            </w:r>
          </w:p>
        </w:tc>
      </w:tr>
    </w:tbl>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c>
          <w:tcPr>
            <w:tcW w:type="dxa" w:w="2520"/>
            <w:shd w:val="clear" w:color="auto" w:fill="1B3A6B"/>
          </w:tcPr>
          <w:p>
            <w:r/>
            <w:r>
              <w:rPr>
                <w:rFonts w:ascii="Arial" w:hAnsi="Arial"/>
                <w:b/>
                <w:color w:val="FFFFFF"/>
                <w:sz w:val="20"/>
              </w:rPr>
              <w:t>Field</w:t>
            </w:r>
          </w:p>
        </w:tc>
        <w:tc>
          <w:tcPr>
            <w:tcW w:type="dxa" w:w="2520"/>
            <w:shd w:val="clear" w:color="auto" w:fill="1B3A6B"/>
          </w:tcPr>
          <w:p>
            <w:r/>
            <w:r>
              <w:rPr>
                <w:rFonts w:ascii="Arial" w:hAnsi="Arial"/>
                <w:b/>
                <w:color w:val="FFFFFF"/>
                <w:sz w:val="20"/>
              </w:rPr>
              <w:t>Value</w:t>
            </w:r>
          </w:p>
        </w:tc>
      </w:tr>
      <w:tr>
        <w:tc>
          <w:tcPr>
            <w:tcW w:type="dxa" w:w="2520"/>
          </w:tcPr>
          <w:p>
            <w:r/>
            <w:r>
              <w:rPr>
                <w:rFonts w:ascii="Arial" w:hAnsi="Arial"/>
                <w:b w:val="0"/>
                <w:sz w:val="20"/>
              </w:rPr>
              <w:t>Policy Name</w:t>
            </w:r>
          </w:p>
        </w:tc>
        <w:tc>
          <w:tcPr>
            <w:tcW w:type="dxa" w:w="2520"/>
          </w:tcPr>
          <w:p>
            <w:r/>
            <w:r>
              <w:rPr>
                <w:rFonts w:ascii="Arial" w:hAnsi="Arial"/>
                <w:b w:val="0"/>
                <w:sz w:val="20"/>
              </w:rPr>
              <w:t>Security Assessment &amp; Continuous Monitoring Policy</w:t>
            </w:r>
          </w:p>
        </w:tc>
        <w:tc>
          <w:tcPr>
            <w:tcW w:type="dxa" w:w="2520"/>
          </w:tcPr>
          <w:p>
            <w:r/>
            <w:r>
              <w:rPr>
                <w:rFonts w:ascii="Arial" w:hAnsi="Arial"/>
                <w:b w:val="0"/>
                <w:sz w:val="20"/>
              </w:rPr>
              <w:t>Version</w:t>
            </w:r>
          </w:p>
        </w:tc>
        <w:tc>
          <w:tcPr>
            <w:tcW w:type="dxa" w:w="2520"/>
          </w:tcPr>
          <w:p>
            <w:r/>
            <w:r>
              <w:rPr>
                <w:rFonts w:ascii="Arial" w:hAnsi="Arial"/>
                <w:b w:val="0"/>
                <w:sz w:val="20"/>
              </w:rPr>
              <w:t>[1.0]</w:t>
            </w:r>
          </w:p>
        </w:tc>
      </w:tr>
      <w:tr>
        <w:tc>
          <w:tcPr>
            <w:tcW w:type="dxa" w:w="2520"/>
          </w:tcPr>
          <w:p>
            <w:r/>
            <w:r>
              <w:rPr>
                <w:rFonts w:ascii="Arial" w:hAnsi="Arial"/>
                <w:b w:val="0"/>
                <w:sz w:val="20"/>
              </w:rPr>
              <w:t>Policy Owner</w:t>
            </w:r>
          </w:p>
        </w:tc>
        <w:tc>
          <w:tcPr>
            <w:tcW w:type="dxa" w:w="2520"/>
          </w:tcPr>
          <w:p>
            <w:r/>
            <w:r>
              <w:rPr>
                <w:rFonts w:ascii="Arial" w:hAnsi="Arial"/>
                <w:b w:val="0"/>
                <w:sz w:val="20"/>
              </w:rPr>
              <w:t>[IT Manager / ISSO]</w:t>
            </w:r>
          </w:p>
        </w:tc>
        <w:tc>
          <w:tcPr>
            <w:tcW w:type="dxa" w:w="2520"/>
          </w:tcPr>
          <w:p>
            <w:r/>
            <w:r>
              <w:rPr>
                <w:rFonts w:ascii="Arial" w:hAnsi="Arial"/>
                <w:b w:val="0"/>
                <w:sz w:val="20"/>
              </w:rPr>
              <w:t>Approved By</w:t>
            </w:r>
          </w:p>
        </w:tc>
        <w:tc>
          <w:tcPr>
            <w:tcW w:type="dxa" w:w="2520"/>
          </w:tcPr>
          <w:p>
            <w:r/>
            <w:r>
              <w:rPr>
                <w:rFonts w:ascii="Arial" w:hAnsi="Arial"/>
                <w:b w:val="0"/>
                <w:sz w:val="20"/>
              </w:rPr>
              <w:t>[CEO / CISO]</w:t>
            </w:r>
          </w:p>
        </w:tc>
      </w:tr>
      <w:tr>
        <w:tc>
          <w:tcPr>
            <w:tcW w:type="dxa" w:w="2520"/>
          </w:tcPr>
          <w:p>
            <w:r/>
            <w:r>
              <w:rPr>
                <w:rFonts w:ascii="Arial" w:hAnsi="Arial"/>
                <w:b w:val="0"/>
                <w:sz w:val="20"/>
              </w:rPr>
              <w:t>Effective Date</w:t>
            </w:r>
          </w:p>
        </w:tc>
        <w:tc>
          <w:tcPr>
            <w:tcW w:type="dxa" w:w="2520"/>
          </w:tcPr>
          <w:p>
            <w:r/>
            <w:r>
              <w:rPr>
                <w:rFonts w:ascii="Arial" w:hAnsi="Arial"/>
                <w:b w:val="0"/>
                <w:sz w:val="20"/>
              </w:rPr>
              <w:t>[YYYY-MM-DD]</w:t>
            </w:r>
          </w:p>
        </w:tc>
        <w:tc>
          <w:tcPr>
            <w:tcW w:type="dxa" w:w="2520"/>
          </w:tcPr>
          <w:p>
            <w:r/>
            <w:r>
              <w:rPr>
                <w:rFonts w:ascii="Arial" w:hAnsi="Arial"/>
                <w:b w:val="0"/>
                <w:sz w:val="20"/>
              </w:rPr>
              <w:t>Last Reviewed</w:t>
            </w:r>
          </w:p>
        </w:tc>
        <w:tc>
          <w:tcPr>
            <w:tcW w:type="dxa" w:w="2520"/>
          </w:tcPr>
          <w:p>
            <w:r/>
            <w:r>
              <w:rPr>
                <w:rFonts w:ascii="Arial" w:hAnsi="Arial"/>
                <w:b w:val="0"/>
                <w:sz w:val="20"/>
              </w:rPr>
              <w:t>[YYYY-MM-DD]</w:t>
            </w:r>
          </w:p>
        </w:tc>
      </w:tr>
      <w:tr>
        <w:tc>
          <w:tcPr>
            <w:tcW w:type="dxa" w:w="2520"/>
          </w:tcPr>
          <w:p>
            <w:r/>
            <w:r>
              <w:rPr>
                <w:rFonts w:ascii="Arial" w:hAnsi="Arial"/>
                <w:b w:val="0"/>
                <w:sz w:val="20"/>
              </w:rPr>
              <w:t>Review Cadence</w:t>
            </w:r>
          </w:p>
        </w:tc>
        <w:tc>
          <w:tcPr>
            <w:tcW w:type="dxa" w:w="2520"/>
          </w:tcPr>
          <w:p>
            <w:r/>
            <w:r>
              <w:rPr>
                <w:rFonts w:ascii="Arial" w:hAnsi="Arial"/>
                <w:b w:val="0"/>
                <w:sz w:val="20"/>
              </w:rPr>
              <w:t>Annual (or upon major change)</w:t>
            </w:r>
          </w:p>
        </w:tc>
        <w:tc>
          <w:tcPr>
            <w:tcW w:type="dxa" w:w="2520"/>
          </w:tcPr>
          <w:p>
            <w:r/>
            <w:r>
              <w:rPr>
                <w:rFonts w:ascii="Arial" w:hAnsi="Arial"/>
                <w:b w:val="0"/>
                <w:sz w:val="20"/>
              </w:rPr>
              <w:t>Classification</w:t>
            </w:r>
          </w:p>
        </w:tc>
        <w:tc>
          <w:tcPr>
            <w:tcW w:type="dxa" w:w="2520"/>
          </w:tcPr>
          <w:p>
            <w:r/>
            <w:r>
              <w:rPr>
                <w:rFonts w:ascii="Arial" w:hAnsi="Arial"/>
                <w:b w:val="0"/>
                <w:sz w:val="20"/>
              </w:rPr>
              <w:t>[CUI / Internal]</w:t>
            </w:r>
          </w:p>
        </w:tc>
      </w:tr>
    </w:tbl>
    <w:p/>
    <w:p>
      <w:pPr>
        <w:spacing w:before="200" w:after="80"/>
      </w:pPr>
      <w:r>
        <w:rPr>
          <w:rFonts w:ascii="Arial" w:hAnsi="Arial"/>
          <w:b/>
          <w:color w:val="2E5FA3"/>
          <w:sz w:val="26"/>
        </w:rPr>
        <w:t>1.  Purpose</w:t>
      </w:r>
    </w:p>
    <w:p>
      <w:r>
        <w:rPr>
          <w:rFonts w:ascii="Arial" w:hAnsi="Arial"/>
          <w:sz w:val="21"/>
        </w:rPr>
        <w:t>This policy establishes how [Organization Name] assesses the effectiveness of its security controls, manages identified deficiencies through a Plan of Action and Milestones (POA&amp;M), and continuously monitors its security posture for systems that process, store, or transmit Controlled Unclassified Information (CUI). Periodic assessment plus ongoing monitoring ensures controls remain effective over time and that gaps are tracked to closure.</w:t>
      </w:r>
    </w:p>
    <w:p>
      <w:pPr>
        <w:spacing w:before="200" w:after="80"/>
      </w:pPr>
      <w:r>
        <w:rPr>
          <w:rFonts w:ascii="Arial" w:hAnsi="Arial"/>
          <w:b/>
          <w:color w:val="2E5FA3"/>
          <w:sz w:val="26"/>
        </w:rPr>
        <w:t>2.  Scope</w:t>
      </w:r>
    </w:p>
    <w:p>
      <w:r>
        <w:rPr>
          <w:rFonts w:ascii="Arial" w:hAnsi="Arial"/>
          <w:sz w:val="21"/>
        </w:rPr>
        <w:t>This policy applies to:</w:t>
      </w:r>
    </w:p>
    <w:p>
      <w:pPr>
        <w:ind w:left="360"/>
      </w:pPr>
      <w:r>
        <w:rPr>
          <w:rFonts w:ascii="Arial" w:hAnsi="Arial"/>
          <w:sz w:val="21"/>
        </w:rPr>
        <w:t>•  All security controls protecting in-scope systems and CUI.</w:t>
      </w:r>
    </w:p>
    <w:p>
      <w:pPr>
        <w:ind w:left="360"/>
      </w:pPr>
      <w:r>
        <w:rPr>
          <w:rFonts w:ascii="Arial" w:hAnsi="Arial"/>
          <w:sz w:val="21"/>
        </w:rPr>
        <w:t>•  Periodic control assessments, continuous monitoring activities, and the POA&amp;M.</w:t>
      </w:r>
    </w:p>
    <w:p>
      <w:pPr>
        <w:ind w:left="360"/>
      </w:pPr>
      <w:r>
        <w:rPr>
          <w:rFonts w:ascii="Arial" w:hAnsi="Arial"/>
          <w:sz w:val="21"/>
        </w:rPr>
        <w:t>•  Information exchanges with external systems/partners where applicable.</w:t>
      </w:r>
    </w:p>
    <w:p>
      <w:r>
        <w:rPr>
          <w:rFonts w:ascii="Arial" w:hAnsi="Arial"/>
          <w:sz w:val="21"/>
        </w:rPr>
        <w:t>Where CUI is involved, the requirements in this policy are mandatory and supersede convenience or operational preferences.</w:t>
      </w:r>
    </w:p>
    <w:p>
      <w:pPr>
        <w:spacing w:before="200" w:after="80"/>
      </w:pPr>
      <w:r>
        <w:rPr>
          <w:rFonts w:ascii="Arial" w:hAnsi="Arial"/>
          <w:b/>
          <w:color w:val="2E5FA3"/>
          <w:sz w:val="26"/>
        </w:rPr>
        <w:t>3.  Definitions</w:t>
      </w:r>
    </w:p>
    <w:p>
      <w:r>
        <w:rPr>
          <w:rFonts w:ascii="Arial" w:hAnsi="Arial"/>
          <w:b/>
          <w:sz w:val="21"/>
        </w:rPr>
        <w:t xml:space="preserve">Security Assessment: </w:t>
      </w:r>
      <w:r>
        <w:rPr>
          <w:rFonts w:ascii="Arial" w:hAnsi="Arial"/>
          <w:sz w:val="21"/>
        </w:rPr>
        <w:t>An evaluation of whether controls are implemented correctly and operating as intended.</w:t>
      </w:r>
    </w:p>
    <w:p>
      <w:r>
        <w:rPr>
          <w:rFonts w:ascii="Arial" w:hAnsi="Arial"/>
          <w:b/>
          <w:sz w:val="21"/>
        </w:rPr>
        <w:t xml:space="preserve">POA&amp;M: </w:t>
      </w:r>
      <w:r>
        <w:rPr>
          <w:rFonts w:ascii="Arial" w:hAnsi="Arial"/>
          <w:sz w:val="21"/>
        </w:rPr>
        <w:t>A documented plan that tracks deficiencies, remediation actions, owners, and milestones.</w:t>
      </w:r>
    </w:p>
    <w:p>
      <w:r>
        <w:rPr>
          <w:rFonts w:ascii="Arial" w:hAnsi="Arial"/>
          <w:b/>
          <w:sz w:val="21"/>
        </w:rPr>
        <w:t xml:space="preserve">Continuous Monitoring: </w:t>
      </w:r>
      <w:r>
        <w:rPr>
          <w:rFonts w:ascii="Arial" w:hAnsi="Arial"/>
          <w:sz w:val="21"/>
        </w:rPr>
        <w:t>Ongoing awareness of security state through metrics, scans, log review, and control checks.</w:t>
      </w:r>
    </w:p>
    <w:p>
      <w:r>
        <w:rPr>
          <w:rFonts w:ascii="Arial" w:hAnsi="Arial"/>
          <w:b/>
          <w:sz w:val="21"/>
        </w:rPr>
        <w:t xml:space="preserve">Information Exchange: </w:t>
      </w:r>
      <w:r>
        <w:rPr>
          <w:rFonts w:ascii="Arial" w:hAnsi="Arial"/>
          <w:sz w:val="21"/>
        </w:rPr>
        <w:t>Sharing information with an external system, governed by agreements.</w:t>
      </w:r>
    </w:p>
    <w:p>
      <w:pPr>
        <w:spacing w:before="200" w:after="80"/>
      </w:pPr>
      <w:r>
        <w:rPr>
          <w:rFonts w:ascii="Arial" w:hAnsi="Arial"/>
          <w:b/>
          <w:color w:val="2E5FA3"/>
          <w:sz w:val="26"/>
        </w:rPr>
        <w:t>4.  Roles &amp; Responsibilities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shd w:val="clear" w:color="auto" w:fill="1B3A6B"/>
          </w:tcPr>
          <w:p>
            <w:r/>
            <w:r>
              <w:rPr>
                <w:rFonts w:ascii="Arial" w:hAnsi="Arial"/>
                <w:b/>
                <w:color w:val="FFFFFF"/>
                <w:sz w:val="20"/>
              </w:rPr>
              <w:t>Role</w:t>
            </w:r>
          </w:p>
        </w:tc>
        <w:tc>
          <w:tcPr>
            <w:tcW w:type="dxa" w:w="5040"/>
            <w:shd w:val="clear" w:color="auto" w:fill="1B3A6B"/>
          </w:tcPr>
          <w:p>
            <w:r/>
            <w:r>
              <w:rPr>
                <w:rFonts w:ascii="Arial" w:hAnsi="Arial"/>
                <w:b/>
                <w:color w:val="FFFFFF"/>
                <w:sz w:val="20"/>
              </w:rPr>
              <w:t>Key Responsibilities</w:t>
            </w:r>
          </w:p>
        </w:tc>
      </w:tr>
      <w:tr>
        <w:tc>
          <w:tcPr>
            <w:tcW w:type="dxa" w:w="5040"/>
          </w:tcPr>
          <w:p>
            <w:r/>
            <w:r>
              <w:rPr>
                <w:rFonts w:ascii="Arial" w:hAnsi="Arial"/>
                <w:b w:val="0"/>
                <w:sz w:val="20"/>
              </w:rPr>
              <w:t>[IT Manager / ISSO]</w:t>
            </w:r>
          </w:p>
        </w:tc>
        <w:tc>
          <w:tcPr>
            <w:tcW w:type="dxa" w:w="5040"/>
          </w:tcPr>
          <w:p>
            <w:r/>
            <w:r>
              <w:rPr>
                <w:rFonts w:ascii="Arial" w:hAnsi="Arial"/>
                <w:b w:val="0"/>
                <w:sz w:val="20"/>
              </w:rPr>
              <w:t>Own this policy; plan and perform assessments; maintain the POA&amp;M; run continuous monitoring; report to leadership.</w:t>
            </w:r>
          </w:p>
        </w:tc>
      </w:tr>
      <w:tr>
        <w:tc>
          <w:tcPr>
            <w:tcW w:type="dxa" w:w="5040"/>
          </w:tcPr>
          <w:p>
            <w:r/>
            <w:r>
              <w:rPr>
                <w:rFonts w:ascii="Arial" w:hAnsi="Arial"/>
                <w:b w:val="0"/>
                <w:sz w:val="20"/>
              </w:rPr>
              <w:t>[System Administrator]</w:t>
            </w:r>
          </w:p>
        </w:tc>
        <w:tc>
          <w:tcPr>
            <w:tcW w:type="dxa" w:w="5040"/>
          </w:tcPr>
          <w:p>
            <w:r/>
            <w:r>
              <w:rPr>
                <w:rFonts w:ascii="Arial" w:hAnsi="Arial"/>
                <w:b w:val="0"/>
                <w:sz w:val="20"/>
              </w:rPr>
              <w:t>Provide evidence; remediate POA&amp;M items; support monitoring tooling.</w:t>
            </w:r>
          </w:p>
        </w:tc>
      </w:tr>
      <w:tr>
        <w:tc>
          <w:tcPr>
            <w:tcW w:type="dxa" w:w="5040"/>
          </w:tcPr>
          <w:p>
            <w:r/>
            <w:r>
              <w:rPr>
                <w:rFonts w:ascii="Arial" w:hAnsi="Arial"/>
                <w:b w:val="0"/>
                <w:sz w:val="20"/>
              </w:rPr>
              <w:t>[Senior Leadership / CISO]</w:t>
            </w:r>
          </w:p>
        </w:tc>
        <w:tc>
          <w:tcPr>
            <w:tcW w:type="dxa" w:w="5040"/>
          </w:tcPr>
          <w:p>
            <w:r/>
            <w:r>
              <w:rPr>
                <w:rFonts w:ascii="Arial" w:hAnsi="Arial"/>
                <w:b w:val="0"/>
                <w:sz w:val="20"/>
              </w:rPr>
              <w:t>Approve this policy; review posture and POA&amp;M; accept residual risk.</w:t>
            </w:r>
          </w:p>
        </w:tc>
      </w:tr>
      <w:tr>
        <w:tc>
          <w:tcPr>
            <w:tcW w:type="dxa" w:w="5040"/>
          </w:tcPr>
          <w:p>
            <w:r/>
            <w:r>
              <w:rPr>
                <w:rFonts w:ascii="Arial" w:hAnsi="Arial"/>
                <w:b w:val="0"/>
                <w:sz w:val="20"/>
              </w:rPr>
              <w:t>All Users</w:t>
            </w:r>
          </w:p>
        </w:tc>
        <w:tc>
          <w:tcPr>
            <w:tcW w:type="dxa" w:w="5040"/>
          </w:tcPr>
          <w:p>
            <w:r/>
            <w:r>
              <w:rPr>
                <w:rFonts w:ascii="Arial" w:hAnsi="Arial"/>
                <w:b w:val="0"/>
                <w:sz w:val="20"/>
              </w:rPr>
              <w:t>Support assessments by providing accurate information.</w:t>
            </w:r>
          </w:p>
        </w:tc>
      </w:tr>
    </w:tbl>
    <w:p/>
    <w:p>
      <w:pPr>
        <w:spacing w:before="200" w:after="80"/>
      </w:pPr>
      <w:r>
        <w:rPr>
          <w:rFonts w:ascii="Arial" w:hAnsi="Arial"/>
          <w:b/>
          <w:color w:val="2E5FA3"/>
          <w:sz w:val="26"/>
        </w:rPr>
        <w:t>5.  Policy Statements</w:t>
      </w:r>
    </w:p>
    <w:p>
      <w:r>
        <w:rPr>
          <w:rFonts w:ascii="Arial" w:hAnsi="Arial"/>
          <w:b/>
          <w:color w:val="2E5FA3"/>
          <w:sz w:val="21"/>
        </w:rPr>
        <w:t>PS-1  Periodic Control Assessment</w:t>
      </w:r>
    </w:p>
    <w:p>
      <w:r>
        <w:rPr>
          <w:rFonts w:ascii="Arial" w:hAnsi="Arial"/>
          <w:sz w:val="21"/>
        </w:rPr>
        <w:t>[Organization Name] must assess the security controls protecting CUI [organization-defined: at least annually and upon significant change; recommended: annually] to determine whether they are implemented correctly and operating effectively.</w:t>
      </w:r>
    </w:p>
    <w:p>
      <w:r>
        <w:rPr>
          <w:rFonts w:ascii="Arial" w:hAnsi="Arial"/>
          <w:b/>
          <w:color w:val="2E5FA3"/>
          <w:sz w:val="21"/>
        </w:rPr>
        <w:t>PS-2  Plan of Action &amp; Milestones (POA&amp;M)</w:t>
      </w:r>
    </w:p>
    <w:p>
      <w:r>
        <w:rPr>
          <w:rFonts w:ascii="Arial" w:hAnsi="Arial"/>
          <w:sz w:val="21"/>
        </w:rPr>
        <w:t>Deficiencies identified through assessments, scans, or monitoring must be recorded in a POA&amp;M with owners, planned actions, and milestone dates, and tracked to closure.</w:t>
      </w:r>
    </w:p>
    <w:p>
      <w:r>
        <w:rPr>
          <w:rFonts w:ascii="Arial" w:hAnsi="Arial"/>
          <w:b/>
          <w:color w:val="2E5FA3"/>
          <w:sz w:val="21"/>
        </w:rPr>
        <w:t>PS-3  Continuous Monitoring</w:t>
      </w:r>
    </w:p>
    <w:p>
      <w:r>
        <w:rPr>
          <w:rFonts w:ascii="Arial" w:hAnsi="Arial"/>
          <w:sz w:val="21"/>
        </w:rPr>
        <w:t>The organization must continuously monitor its security posture using a defined set of metrics and activities (e.g., vulnerability scans, log/alert review, configuration compliance, control checks) at defined frequencies.</w:t>
      </w:r>
    </w:p>
    <w:p>
      <w:r>
        <w:rPr>
          <w:rFonts w:ascii="Arial" w:hAnsi="Arial"/>
          <w:b/>
          <w:color w:val="2E5FA3"/>
          <w:sz w:val="21"/>
        </w:rPr>
        <w:t>PS-4  Assessment Independence &amp; Evidence</w:t>
      </w:r>
    </w:p>
    <w:p>
      <w:r>
        <w:rPr>
          <w:rFonts w:ascii="Arial" w:hAnsi="Arial"/>
          <w:sz w:val="21"/>
        </w:rPr>
        <w:t>Assessments must be supported by objective evidence; where practical, assessors should be independent of the control they assess.</w:t>
      </w:r>
    </w:p>
    <w:p>
      <w:r>
        <w:rPr>
          <w:rFonts w:ascii="Arial" w:hAnsi="Arial"/>
          <w:b/>
          <w:color w:val="2E5FA3"/>
          <w:sz w:val="21"/>
        </w:rPr>
        <w:t>PS-5  Reporting</w:t>
      </w:r>
    </w:p>
    <w:p>
      <w:r>
        <w:rPr>
          <w:rFonts w:ascii="Arial" w:hAnsi="Arial"/>
          <w:sz w:val="21"/>
        </w:rPr>
        <w:t>Assessment results, POA&amp;M status, and monitoring metrics must be reported to leadership on a defined cadence so risk decisions are informed.</w:t>
      </w:r>
    </w:p>
    <w:p>
      <w:r>
        <w:rPr>
          <w:rFonts w:ascii="Arial" w:hAnsi="Arial"/>
          <w:b/>
          <w:color w:val="2E5FA3"/>
          <w:sz w:val="21"/>
        </w:rPr>
        <w:t>PS-6  Information Exchange</w:t>
      </w:r>
    </w:p>
    <w:p>
      <w:r>
        <w:rPr>
          <w:rFonts w:ascii="Arial" w:hAnsi="Arial"/>
          <w:sz w:val="21"/>
        </w:rPr>
        <w:t>Where in-scope systems exchange information with external systems, the exchange must be governed by agreements that define security responsibilities and requirements.</w:t>
      </w:r>
    </w:p>
    <w:p>
      <w:pPr>
        <w:spacing w:before="200" w:after="80"/>
      </w:pPr>
      <w:r>
        <w:rPr>
          <w:rFonts w:ascii="Arial" w:hAnsi="Arial"/>
          <w:b/>
          <w:color w:val="2E5FA3"/>
          <w:sz w:val="26"/>
        </w:rPr>
        <w:t>6.  Procedures &amp; Audit Evidence</w:t>
      </w:r>
    </w:p>
    <w:p>
      <w:r>
        <w:rPr>
          <w:rFonts w:ascii="Arial" w:hAnsi="Arial"/>
          <w:sz w:val="21"/>
        </w:rPr>
        <w:t>6.1  Assess &amp; Track</w:t>
      </w:r>
    </w:p>
    <w:p>
      <w:pPr>
        <w:ind w:left="360"/>
      </w:pPr>
      <w:r>
        <w:rPr>
          <w:rFonts w:ascii="Arial" w:hAnsi="Arial"/>
          <w:sz w:val="21"/>
        </w:rPr>
        <w:t>•  Plan and perform the periodic assessment with evidence.</w:t>
      </w:r>
    </w:p>
    <w:p>
      <w:pPr>
        <w:ind w:left="360"/>
      </w:pPr>
      <w:r>
        <w:rPr>
          <w:rFonts w:ascii="Arial" w:hAnsi="Arial"/>
          <w:sz w:val="21"/>
        </w:rPr>
        <w:t>•  Log deficiencies in the POA&amp;M; assign owners and milestones; track to closure.</w:t>
      </w:r>
    </w:p>
    <w:p>
      <w:r>
        <w:rPr>
          <w:rFonts w:ascii="Arial" w:hAnsi="Arial"/>
          <w:b/>
          <w:sz w:val="21"/>
        </w:rPr>
        <w:t xml:space="preserve">Audit evidence: </w:t>
      </w:r>
      <w:r>
        <w:rPr>
          <w:rFonts w:ascii="Arial" w:hAnsi="Arial"/>
          <w:sz w:val="21"/>
        </w:rPr>
        <w:t>Assessment plan and results; POA&amp;M (dated, updated).</w:t>
      </w:r>
    </w:p>
    <w:p>
      <w:r>
        <w:rPr>
          <w:rFonts w:ascii="Arial" w:hAnsi="Arial"/>
          <w:sz w:val="21"/>
        </w:rPr>
        <w:t>6.2  Monitor &amp; Report</w:t>
      </w:r>
    </w:p>
    <w:p>
      <w:pPr>
        <w:ind w:left="360"/>
      </w:pPr>
      <w:r>
        <w:rPr>
          <w:rFonts w:ascii="Arial" w:hAnsi="Arial"/>
          <w:sz w:val="21"/>
        </w:rPr>
        <w:t>•  Run continuous-monitoring activities at defined frequencies.</w:t>
      </w:r>
    </w:p>
    <w:p>
      <w:pPr>
        <w:ind w:left="360"/>
      </w:pPr>
      <w:r>
        <w:rPr>
          <w:rFonts w:ascii="Arial" w:hAnsi="Arial"/>
          <w:sz w:val="21"/>
        </w:rPr>
        <w:t>•  Report posture, POA&amp;M status, and metrics to leadership.</w:t>
      </w:r>
    </w:p>
    <w:p>
      <w:r>
        <w:rPr>
          <w:rFonts w:ascii="Arial" w:hAnsi="Arial"/>
          <w:b/>
          <w:sz w:val="21"/>
        </w:rPr>
        <w:t xml:space="preserve">Audit evidence: </w:t>
      </w:r>
      <w:r>
        <w:rPr>
          <w:rFonts w:ascii="Arial" w:hAnsi="Arial"/>
          <w:sz w:val="21"/>
        </w:rPr>
        <w:t>Monitoring metrics/dashboards; scan and review records; leadership reports.</w:t>
      </w:r>
    </w:p>
    <w:p>
      <w:pPr>
        <w:spacing w:before="200" w:after="80"/>
      </w:pPr>
      <w:r>
        <w:rPr>
          <w:rFonts w:ascii="Arial" w:hAnsi="Arial"/>
          <w:b/>
          <w:color w:val="2E5FA3"/>
          <w:sz w:val="26"/>
        </w:rPr>
        <w:t>7.  Compliance, Monitoring &amp; Enforcement</w:t>
      </w:r>
    </w:p>
    <w:p>
      <w:r>
        <w:rPr>
          <w:rFonts w:ascii="Arial" w:hAnsi="Arial"/>
          <w:sz w:val="21"/>
        </w:rPr>
        <w:t>The [IT Manager / ISSO] shall review compliance with this policy at least [quarterly] by verifying controls are assessed on schedule, deficiencies are tracked in the POA&amp;M to closure, continuous-monitoring activities occur, and results are reported. Results shall be reported to [Senior Leadership / CISO].</w:t>
      </w:r>
    </w:p>
    <w:p>
      <w:r>
        <w:rPr>
          <w:rFonts w:ascii="Arial" w:hAnsi="Arial"/>
          <w:sz w:val="21"/>
        </w:rPr>
        <w:t>Violations may result in:</w:t>
      </w:r>
    </w:p>
    <w:p>
      <w:pPr>
        <w:ind w:left="360"/>
      </w:pPr>
      <w:r>
        <w:rPr>
          <w:rFonts w:ascii="Arial" w:hAnsi="Arial"/>
          <w:sz w:val="21"/>
        </w:rPr>
        <w:t>•  Remediation of the deficiency within a timeframe set by the policy owner based on risk.</w:t>
      </w:r>
    </w:p>
    <w:p>
      <w:pPr>
        <w:ind w:left="360"/>
      </w:pPr>
      <w:r>
        <w:rPr>
          <w:rFonts w:ascii="Arial" w:hAnsi="Arial"/>
          <w:sz w:val="21"/>
        </w:rPr>
        <w:t>•  Disciplinary action up to and including termination of employment or contract, consistent with [Organization Name]'s disciplinary procedures.</w:t>
      </w:r>
    </w:p>
    <w:p>
      <w:pPr>
        <w:ind w:left="360"/>
      </w:pPr>
      <w:r>
        <w:rPr>
          <w:rFonts w:ascii="Arial" w:hAnsi="Arial"/>
          <w:sz w:val="21"/>
        </w:rPr>
        <w:t>•  Referral to law enforcement and notification to government contracting officers where CUI or criminal activity is involved, as required by the applicable contract or regulation.</w:t>
      </w:r>
    </w:p>
    <w:p>
      <w:pPr>
        <w:spacing w:before="200" w:after="80"/>
      </w:pPr>
      <w:r>
        <w:rPr>
          <w:rFonts w:ascii="Arial" w:hAnsi="Arial"/>
          <w:b/>
          <w:color w:val="2E5FA3"/>
          <w:sz w:val="26"/>
        </w:rPr>
        <w:t>8.  Exceptions</w:t>
      </w:r>
    </w:p>
    <w:p>
      <w:r>
        <w:rPr>
          <w:rFonts w:ascii="Arial" w:hAnsi="Arial"/>
          <w:sz w:val="21"/>
        </w:rPr>
        <w:t>Exceptions to this policy must be rare. To request one:</w:t>
      </w:r>
    </w:p>
    <w:p>
      <w:pPr>
        <w:ind w:left="360"/>
      </w:pPr>
      <w:r>
        <w:rPr>
          <w:rFonts w:ascii="Arial" w:hAnsi="Arial"/>
          <w:sz w:val="21"/>
        </w:rPr>
        <w:t>•  The requester submits a written exception to the policy owner describing the requirement that cannot be met, the business justification, the risk introduced, and proposed compensating controls.</w:t>
      </w:r>
    </w:p>
    <w:p>
      <w:pPr>
        <w:ind w:left="360"/>
      </w:pPr>
      <w:r>
        <w:rPr>
          <w:rFonts w:ascii="Arial" w:hAnsi="Arial"/>
          <w:sz w:val="21"/>
        </w:rPr>
        <w:t>•  The policy owner assesses the risk and prepares a recommendation; [Senior Leadership / CISO] approves or denies the exception in writing.</w:t>
      </w:r>
    </w:p>
    <w:p>
      <w:pPr>
        <w:ind w:left="360"/>
      </w:pPr>
      <w:r>
        <w:rPr>
          <w:rFonts w:ascii="Arial" w:hAnsi="Arial"/>
          <w:sz w:val="21"/>
        </w:rPr>
        <w:t>•  Approved exceptions are logged in the Exception Register with an expiry of no more than [organization-defined: 12 months; recommended: 12 months], reviewed upon expiry, and reflected as a plan of action and milestones (POA&amp;M) item in the SSP where CUI systems are affected.</w:t>
      </w:r>
    </w:p>
    <w:p>
      <w:pPr>
        <w:spacing w:before="200" w:after="80"/>
      </w:pPr>
      <w:r>
        <w:rPr>
          <w:rFonts w:ascii="Arial" w:hAnsi="Arial"/>
          <w:b/>
          <w:color w:val="2E5FA3"/>
          <w:sz w:val="26"/>
        </w:rPr>
        <w:t>9.  Related Documents</w:t>
      </w:r>
    </w:p>
    <w:p>
      <w:pPr>
        <w:ind w:left="360"/>
      </w:pPr>
      <w:r>
        <w:rPr>
          <w:rFonts w:ascii="Arial" w:hAnsi="Arial"/>
          <w:sz w:val="21"/>
        </w:rPr>
        <w:t>•  Risk Assessment Policy — risk inputs and vulnerability scanning.</w:t>
      </w:r>
    </w:p>
    <w:p>
      <w:pPr>
        <w:ind w:left="360"/>
      </w:pPr>
      <w:r>
        <w:rPr>
          <w:rFonts w:ascii="Arial" w:hAnsi="Arial"/>
          <w:sz w:val="21"/>
        </w:rPr>
        <w:t>•  Audit &amp; Accountability Policy — log review feeding monitoring.</w:t>
      </w:r>
    </w:p>
    <w:p>
      <w:pPr>
        <w:ind w:left="360"/>
      </w:pPr>
      <w:r>
        <w:rPr>
          <w:rFonts w:ascii="Arial" w:hAnsi="Arial"/>
          <w:sz w:val="21"/>
        </w:rPr>
        <w:t>•  Configuration Management Policy — configuration compliance checks.</w:t>
      </w:r>
    </w:p>
    <w:p>
      <w:pPr>
        <w:ind w:left="360"/>
      </w:pPr>
      <w:r>
        <w:rPr>
          <w:rFonts w:ascii="Arial" w:hAnsi="Arial"/>
          <w:sz w:val="21"/>
        </w:rPr>
        <w:t>•  System Security Plan (SSP) — control implementation baseline.</w:t>
      </w:r>
    </w:p>
    <w:p>
      <w:pPr>
        <w:spacing w:before="200" w:after="80"/>
      </w:pPr>
      <w:r>
        <w:rPr>
          <w:rFonts w:ascii="Arial" w:hAnsi="Arial"/>
          <w:b/>
          <w:color w:val="2E5FA3"/>
          <w:sz w:val="26"/>
        </w:rPr>
        <w:t>10.  Control Mapping</w:t>
      </w:r>
    </w:p>
    <w:p>
      <w:r>
        <w:rPr>
          <w:rFonts w:ascii="Arial" w:hAnsi="Arial"/>
          <w:sz w:val="21"/>
        </w:rPr>
        <w:t>The table below maps each required control to the policy statement(s) that satisfy it and the evidence an auditor will seek. Control IDs are from NIST SP 800-171 Rev 3 (family 03.12); they are equally applicable to CMMC 2.0 Level 2 and ITSP.10.171 (CPCSC).</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shd w:val="clear" w:color="auto" w:fill="1B3A6B"/>
          </w:tcPr>
          <w:p>
            <w:r/>
            <w:r>
              <w:rPr>
                <w:rFonts w:ascii="Arial" w:hAnsi="Arial"/>
                <w:b/>
                <w:color w:val="FFFFFF"/>
                <w:sz w:val="20"/>
              </w:rPr>
              <w:t>Control ID</w:t>
            </w:r>
          </w:p>
        </w:tc>
        <w:tc>
          <w:tcPr>
            <w:tcW w:type="dxa" w:w="3360"/>
            <w:shd w:val="clear" w:color="auto" w:fill="1B3A6B"/>
          </w:tcPr>
          <w:p>
            <w:r/>
            <w:r>
              <w:rPr>
                <w:rFonts w:ascii="Arial" w:hAnsi="Arial"/>
                <w:b/>
                <w:color w:val="FFFFFF"/>
                <w:sz w:val="20"/>
              </w:rPr>
              <w:t>Policy Statement(s)</w:t>
            </w:r>
          </w:p>
        </w:tc>
        <w:tc>
          <w:tcPr>
            <w:tcW w:type="dxa" w:w="3360"/>
            <w:shd w:val="clear" w:color="auto" w:fill="1B3A6B"/>
          </w:tcPr>
          <w:p>
            <w:r/>
            <w:r>
              <w:rPr>
                <w:rFonts w:ascii="Arial" w:hAnsi="Arial"/>
                <w:b/>
                <w:color w:val="FFFFFF"/>
                <w:sz w:val="20"/>
              </w:rPr>
              <w:t>Expected Audit Evidence</w:t>
            </w:r>
          </w:p>
        </w:tc>
      </w:tr>
      <w:tr>
        <w:tc>
          <w:tcPr>
            <w:tcW w:type="dxa" w:w="3360"/>
          </w:tcPr>
          <w:p>
            <w:r/>
            <w:r>
              <w:rPr>
                <w:rFonts w:ascii="Arial" w:hAnsi="Arial"/>
                <w:b w:val="0"/>
                <w:sz w:val="20"/>
              </w:rPr>
              <w:t>03.12.01  Security Assessment</w:t>
            </w:r>
          </w:p>
        </w:tc>
        <w:tc>
          <w:tcPr>
            <w:tcW w:type="dxa" w:w="3360"/>
          </w:tcPr>
          <w:p>
            <w:r/>
            <w:r>
              <w:rPr>
                <w:rFonts w:ascii="Arial" w:hAnsi="Arial"/>
                <w:b w:val="0"/>
                <w:sz w:val="20"/>
              </w:rPr>
              <w:t>PS-1, PS-4 — periodic assessment with evidence</w:t>
            </w:r>
          </w:p>
        </w:tc>
        <w:tc>
          <w:tcPr>
            <w:tcW w:type="dxa" w:w="3360"/>
          </w:tcPr>
          <w:p>
            <w:r/>
            <w:r>
              <w:rPr>
                <w:rFonts w:ascii="Arial" w:hAnsi="Arial"/>
                <w:b w:val="0"/>
                <w:sz w:val="20"/>
              </w:rPr>
              <w:t>Assessment plan and results</w:t>
            </w:r>
          </w:p>
        </w:tc>
      </w:tr>
      <w:tr>
        <w:tc>
          <w:tcPr>
            <w:tcW w:type="dxa" w:w="3360"/>
          </w:tcPr>
          <w:p>
            <w:r/>
            <w:r>
              <w:rPr>
                <w:rFonts w:ascii="Arial" w:hAnsi="Arial"/>
                <w:b w:val="0"/>
                <w:sz w:val="20"/>
              </w:rPr>
              <w:t>03.12.02  Plan of Action and Milestones</w:t>
            </w:r>
          </w:p>
        </w:tc>
        <w:tc>
          <w:tcPr>
            <w:tcW w:type="dxa" w:w="3360"/>
          </w:tcPr>
          <w:p>
            <w:r/>
            <w:r>
              <w:rPr>
                <w:rFonts w:ascii="Arial" w:hAnsi="Arial"/>
                <w:b w:val="0"/>
                <w:sz w:val="20"/>
              </w:rPr>
              <w:t>PS-2 — POA&amp;M</w:t>
            </w:r>
          </w:p>
        </w:tc>
        <w:tc>
          <w:tcPr>
            <w:tcW w:type="dxa" w:w="3360"/>
          </w:tcPr>
          <w:p>
            <w:r/>
            <w:r>
              <w:rPr>
                <w:rFonts w:ascii="Arial" w:hAnsi="Arial"/>
                <w:b w:val="0"/>
                <w:sz w:val="20"/>
              </w:rPr>
              <w:t>POA&amp;M (dated, tracked)</w:t>
            </w:r>
          </w:p>
        </w:tc>
      </w:tr>
      <w:tr>
        <w:tc>
          <w:tcPr>
            <w:tcW w:type="dxa" w:w="3360"/>
          </w:tcPr>
          <w:p>
            <w:r/>
            <w:r>
              <w:rPr>
                <w:rFonts w:ascii="Arial" w:hAnsi="Arial"/>
                <w:b w:val="0"/>
                <w:sz w:val="20"/>
              </w:rPr>
              <w:t>03.12.03  Continuous Monitoring</w:t>
            </w:r>
          </w:p>
        </w:tc>
        <w:tc>
          <w:tcPr>
            <w:tcW w:type="dxa" w:w="3360"/>
          </w:tcPr>
          <w:p>
            <w:r/>
            <w:r>
              <w:rPr>
                <w:rFonts w:ascii="Arial" w:hAnsi="Arial"/>
                <w:b w:val="0"/>
                <w:sz w:val="20"/>
              </w:rPr>
              <w:t>PS-3, PS-5 — monitoring and reporting</w:t>
            </w:r>
          </w:p>
        </w:tc>
        <w:tc>
          <w:tcPr>
            <w:tcW w:type="dxa" w:w="3360"/>
          </w:tcPr>
          <w:p>
            <w:r/>
            <w:r>
              <w:rPr>
                <w:rFonts w:ascii="Arial" w:hAnsi="Arial"/>
                <w:b w:val="0"/>
                <w:sz w:val="20"/>
              </w:rPr>
              <w:t>Monitoring metrics; leadership reports</w:t>
            </w:r>
          </w:p>
        </w:tc>
      </w:tr>
      <w:tr>
        <w:tc>
          <w:tcPr>
            <w:tcW w:type="dxa" w:w="3360"/>
          </w:tcPr>
          <w:p>
            <w:r/>
            <w:r>
              <w:rPr>
                <w:rFonts w:ascii="Arial" w:hAnsi="Arial"/>
                <w:b w:val="0"/>
                <w:sz w:val="20"/>
              </w:rPr>
              <w:t>03.12.05  Information Exchange</w:t>
            </w:r>
          </w:p>
        </w:tc>
        <w:tc>
          <w:tcPr>
            <w:tcW w:type="dxa" w:w="3360"/>
          </w:tcPr>
          <w:p>
            <w:r/>
            <w:r>
              <w:rPr>
                <w:rFonts w:ascii="Arial" w:hAnsi="Arial"/>
                <w:b w:val="0"/>
                <w:sz w:val="20"/>
              </w:rPr>
              <w:t>PS-6 — exchange agreements</w:t>
            </w:r>
          </w:p>
        </w:tc>
        <w:tc>
          <w:tcPr>
            <w:tcW w:type="dxa" w:w="3360"/>
          </w:tcPr>
          <w:p>
            <w:r/>
            <w:r>
              <w:rPr>
                <w:rFonts w:ascii="Arial" w:hAnsi="Arial"/>
                <w:b w:val="0"/>
                <w:sz w:val="20"/>
              </w:rPr>
              <w:t>Interconnection/data-sharing agreements</w:t>
            </w:r>
          </w:p>
        </w:tc>
      </w:tr>
    </w:tbl>
    <w:p/>
    <w:p>
      <w:pPr>
        <w:spacing w:before="200" w:after="80"/>
      </w:pPr>
      <w:r>
        <w:rPr>
          <w:rFonts w:ascii="Arial" w:hAnsi="Arial"/>
          <w:b/>
          <w:color w:val="2E5FA3"/>
          <w:sz w:val="26"/>
        </w:rPr>
        <w:t>11.  Revision History</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20"/>
        <w:gridCol w:w="2520"/>
        <w:gridCol w:w="2520"/>
        <w:gridCol w:w="2520"/>
      </w:tblGrid>
      <w:tr>
        <w:tc>
          <w:tcPr>
            <w:tcW w:type="dxa" w:w="2520"/>
            <w:shd w:val="clear" w:color="auto" w:fill="1B3A6B"/>
          </w:tcPr>
          <w:p>
            <w:r/>
            <w:r>
              <w:rPr>
                <w:rFonts w:ascii="Arial" w:hAnsi="Arial"/>
                <w:b/>
                <w:color w:val="FFFFFF"/>
                <w:sz w:val="20"/>
              </w:rPr>
              <w:t>Version</w:t>
            </w:r>
          </w:p>
        </w:tc>
        <w:tc>
          <w:tcPr>
            <w:tcW w:type="dxa" w:w="2520"/>
            <w:shd w:val="clear" w:color="auto" w:fill="1B3A6B"/>
          </w:tcPr>
          <w:p>
            <w:r/>
            <w:r>
              <w:rPr>
                <w:rFonts w:ascii="Arial" w:hAnsi="Arial"/>
                <w:b/>
                <w:color w:val="FFFFFF"/>
                <w:sz w:val="20"/>
              </w:rPr>
              <w:t>Date</w:t>
            </w:r>
          </w:p>
        </w:tc>
        <w:tc>
          <w:tcPr>
            <w:tcW w:type="dxa" w:w="2520"/>
            <w:shd w:val="clear" w:color="auto" w:fill="1B3A6B"/>
          </w:tcPr>
          <w:p>
            <w:r/>
            <w:r>
              <w:rPr>
                <w:rFonts w:ascii="Arial" w:hAnsi="Arial"/>
                <w:b/>
                <w:color w:val="FFFFFF"/>
                <w:sz w:val="20"/>
              </w:rPr>
              <w:t>Author / Role</w:t>
            </w:r>
          </w:p>
        </w:tc>
        <w:tc>
          <w:tcPr>
            <w:tcW w:type="dxa" w:w="2520"/>
            <w:shd w:val="clear" w:color="auto" w:fill="1B3A6B"/>
          </w:tcPr>
          <w:p>
            <w:r/>
            <w:r>
              <w:rPr>
                <w:rFonts w:ascii="Arial" w:hAnsi="Arial"/>
                <w:b/>
                <w:color w:val="FFFFFF"/>
                <w:sz w:val="20"/>
              </w:rPr>
              <w:t>Summary of Changes</w:t>
            </w:r>
          </w:p>
        </w:tc>
      </w:tr>
      <w:tr>
        <w:tc>
          <w:tcPr>
            <w:tcW w:type="dxa" w:w="2520"/>
          </w:tcPr>
          <w:p>
            <w:r/>
            <w:r>
              <w:rPr>
                <w:rFonts w:ascii="Arial" w:hAnsi="Arial"/>
                <w:b w:val="0"/>
                <w:sz w:val="20"/>
              </w:rPr>
              <w:t>1.0</w:t>
            </w:r>
          </w:p>
        </w:tc>
        <w:tc>
          <w:tcPr>
            <w:tcW w:type="dxa" w:w="2520"/>
          </w:tcPr>
          <w:p>
            <w:r/>
            <w:r>
              <w:rPr>
                <w:rFonts w:ascii="Arial" w:hAnsi="Arial"/>
                <w:b w:val="0"/>
                <w:sz w:val="20"/>
              </w:rPr>
              <w:t>[YYYY-MM-DD]</w:t>
            </w:r>
          </w:p>
        </w:tc>
        <w:tc>
          <w:tcPr>
            <w:tcW w:type="dxa" w:w="2520"/>
          </w:tcPr>
          <w:p>
            <w:r/>
            <w:r>
              <w:rPr>
                <w:rFonts w:ascii="Arial" w:hAnsi="Arial"/>
                <w:b w:val="0"/>
                <w:sz w:val="20"/>
              </w:rPr>
              <w:t>[IT Manager / ISSO]</w:t>
            </w:r>
          </w:p>
        </w:tc>
        <w:tc>
          <w:tcPr>
            <w:tcW w:type="dxa" w:w="2520"/>
          </w:tcPr>
          <w:p>
            <w:r/>
            <w:r>
              <w:rPr>
                <w:rFonts w:ascii="Arial" w:hAnsi="Arial"/>
                <w:b w:val="0"/>
                <w:sz w:val="20"/>
              </w:rPr>
              <w:t>Initial policy release.</w:t>
            </w:r>
          </w:p>
        </w:tc>
      </w:tr>
    </w:tbl>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1"/>
      </w:pBdr>
      <w:spacing w:before="80"/>
      <w:jc w:val="center"/>
    </w:pPr>
    <w:r>
      <w:rPr>
        <w:rFonts w:ascii="Arial" w:cs="Arial" w:eastAsia="Arial" w:hAnsi="Arial"/>
        <w:i/>
        <w:iCs/>
        <w:color w:val="8096B0"/>
        <w:sz w:val="15"/>
        <w:szCs w:val="15"/>
      </w:rPr>
      <w:t xml:space="preserve">CONFIDENTIAL — For internal use only. Review annually or upon significant change.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1"/>
      </w:pBdr>
      <w:spacing w:after="80"/>
      <w:jc w:val="right"/>
    </w:pPr>
    <w:r>
      <w:rPr>
        <w:rFonts w:ascii="Arial" w:cs="Arial" w:eastAsia="Arial" w:hAnsi="Arial"/>
        <w:color w:val="8096B0"/>
        <w:sz w:val="16"/>
        <w:szCs w:val="16"/>
      </w:rPr>
      <w:t xml:space="preserve">[Organization Name]  |  Access Control Policy  |  v[1.0]  |  </w:t>
    </w:r>
    <w:r>
      <w:rPr>
        <w:rFonts w:ascii="Arial" w:cs="Arial" w:eastAsia="Arial" w:hAnsi="Arial"/>
        <w:color w:val="8096B0"/>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PS-%1."/>
      <w:lvlJc w:val="left"/>
      <w:pPr>
        <w:ind w:left="700" w:hanging="400"/>
      </w:pPr>
    </w:lvl>
  </w:abstractNum>
  <w:abstractNum w:abstractNumId="4"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B3A6B"/>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A3"/>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2026-06-06T13:50:17.851Z</dcterms:created>
  <dcterms:modified xsi:type="dcterms:W3CDTF">2026-06-06T13:50:17.852Z</dcterms:modified>
</cp:coreProperties>
</file>

<file path=docProps/custom.xml><?xml version="1.0" encoding="utf-8"?>
<Properties xmlns="http://schemas.openxmlformats.org/officeDocument/2006/custom-properties" xmlns:vt="http://schemas.openxmlformats.org/officeDocument/2006/docPropsVTypes"/>
</file>