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d'évaluation de la sécurité et de surveillance continue</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d'évaluation de la sécurité et de surveillance continue</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évalue l'efficacité de ses contrôles de sécurité, gère les déficiences au moyen d'un plan d'action et de jalons (POA&amp;M) et surveille en continu sa posture de sécurité pour les systèmes qui traitent, stockent ou transmettent de l'information contrôlée non classifiée (CUI). L'évaluation périodique combinée à la surveillance continue garantit que les contrôles demeurent efficaces dans le temps et que les écarts sont suivis jusqu'à résolution.</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contrôles de sécurité protégeant les systèmes visés et les CUI.</w:t>
      </w:r>
    </w:p>
    <w:p>
      <w:pPr>
        <w:ind w:left="360"/>
      </w:pPr>
      <w:r>
        <w:rPr>
          <w:rFonts w:ascii="Arial" w:hAnsi="Arial"/>
          <w:sz w:val="21"/>
        </w:rPr>
        <w:t>•  Les évaluations périodiques des contrôles, les activités de surveillance continue et le POA&amp;M.</w:t>
      </w:r>
    </w:p>
    <w:p>
      <w:pPr>
        <w:ind w:left="360"/>
      </w:pPr>
      <w:r>
        <w:rPr>
          <w:rFonts w:ascii="Arial" w:hAnsi="Arial"/>
          <w:sz w:val="21"/>
        </w:rPr>
        <w:t>•  Les échanges d'information avec des systèmes/partenaires externes lorsque applicable.</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Évaluation de la sécurité: </w:t>
      </w:r>
      <w:r>
        <w:rPr>
          <w:rFonts w:ascii="Arial" w:hAnsi="Arial"/>
          <w:sz w:val="21"/>
        </w:rPr>
        <w:t>Une évaluation visant à déterminer si les contrôles sont mis en œuvre correctement et fonctionnent comme prévu.</w:t>
      </w:r>
    </w:p>
    <w:p>
      <w:r>
        <w:rPr>
          <w:rFonts w:ascii="Arial" w:hAnsi="Arial"/>
          <w:b/>
          <w:sz w:val="21"/>
        </w:rPr>
        <w:t xml:space="preserve">POA&amp;M: </w:t>
      </w:r>
      <w:r>
        <w:rPr>
          <w:rFonts w:ascii="Arial" w:hAnsi="Arial"/>
          <w:sz w:val="21"/>
        </w:rPr>
        <w:t>Un plan documenté qui suit les déficiences, les mesures correctives, les responsables et les jalons.</w:t>
      </w:r>
    </w:p>
    <w:p>
      <w:r>
        <w:rPr>
          <w:rFonts w:ascii="Arial" w:hAnsi="Arial"/>
          <w:b/>
          <w:sz w:val="21"/>
        </w:rPr>
        <w:t xml:space="preserve">Surveillance continue: </w:t>
      </w:r>
      <w:r>
        <w:rPr>
          <w:rFonts w:ascii="Arial" w:hAnsi="Arial"/>
          <w:sz w:val="21"/>
        </w:rPr>
        <w:t>Une connaissance continue de l'état de sécurité par des indicateurs, analyses, revues de journaux et vérifications de contrôles.</w:t>
      </w:r>
    </w:p>
    <w:p>
      <w:r>
        <w:rPr>
          <w:rFonts w:ascii="Arial" w:hAnsi="Arial"/>
          <w:b/>
          <w:sz w:val="21"/>
        </w:rPr>
        <w:t xml:space="preserve">Échange d'information: </w:t>
      </w:r>
      <w:r>
        <w:rPr>
          <w:rFonts w:ascii="Arial" w:hAnsi="Arial"/>
          <w:sz w:val="21"/>
        </w:rPr>
        <w:t>Le partage d'information avec un système externe, régi par des ententes.</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planifier et réaliser les évaluations; tenir le POA&amp;M; assurer la surveillance continue; signaler à la direction.</w:t>
            </w:r>
          </w:p>
        </w:tc>
      </w:tr>
      <w:tr>
        <w:tc>
          <w:tcPr>
            <w:tcW w:type="dxa" w:w="5040"/>
          </w:tcPr>
          <w:p>
            <w:r/>
            <w:r>
              <w:rPr>
                <w:rFonts w:ascii="Arial" w:hAnsi="Arial"/>
                <w:b w:val="0"/>
                <w:sz w:val="20"/>
              </w:rPr>
              <w:t>[Administrateur système]</w:t>
            </w:r>
          </w:p>
        </w:tc>
        <w:tc>
          <w:tcPr>
            <w:tcW w:type="dxa" w:w="5040"/>
          </w:tcPr>
          <w:p>
            <w:r/>
            <w:r>
              <w:rPr>
                <w:rFonts w:ascii="Arial" w:hAnsi="Arial"/>
                <w:b w:val="0"/>
                <w:sz w:val="20"/>
              </w:rPr>
              <w:t>Fournir les preuves; corriger les éléments du POA&amp;M; soutenir les outils de surveillance.</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examiner la posture et le POA&amp;M; accepter le risque résiduel.</w:t>
            </w:r>
          </w:p>
        </w:tc>
      </w:tr>
      <w:tr>
        <w:tc>
          <w:tcPr>
            <w:tcW w:type="dxa" w:w="5040"/>
          </w:tcPr>
          <w:p>
            <w:r/>
            <w:r>
              <w:rPr>
                <w:rFonts w:ascii="Arial" w:hAnsi="Arial"/>
                <w:b w:val="0"/>
                <w:sz w:val="20"/>
              </w:rPr>
              <w:t>Tous les utilisateurs</w:t>
            </w:r>
          </w:p>
        </w:tc>
        <w:tc>
          <w:tcPr>
            <w:tcW w:type="dxa" w:w="5040"/>
          </w:tcPr>
          <w:p>
            <w:r/>
            <w:r>
              <w:rPr>
                <w:rFonts w:ascii="Arial" w:hAnsi="Arial"/>
                <w:b w:val="0"/>
                <w:sz w:val="20"/>
              </w:rPr>
              <w:t>Soutenir les évaluations en fournissant de l'information exacte.</w:t>
            </w:r>
          </w:p>
        </w:tc>
      </w:tr>
    </w:tbl>
    <w:p/>
    <w:p>
      <w:pPr>
        <w:spacing w:before="200" w:after="80"/>
      </w:pPr>
      <w:r>
        <w:rPr>
          <w:rFonts w:ascii="Arial" w:hAnsi="Arial"/>
          <w:b/>
          <w:color w:val="2E5FA3"/>
          <w:sz w:val="26"/>
        </w:rPr>
        <w:t>5.  Énoncés de politique</w:t>
      </w:r>
    </w:p>
    <w:p>
      <w:r>
        <w:rPr>
          <w:rFonts w:ascii="Arial" w:hAnsi="Arial"/>
          <w:b/>
          <w:color w:val="2E5FA3"/>
          <w:sz w:val="21"/>
        </w:rPr>
        <w:t>PS-1  Évaluation périodique des contrôles</w:t>
      </w:r>
    </w:p>
    <w:p>
      <w:r>
        <w:rPr>
          <w:rFonts w:ascii="Arial" w:hAnsi="Arial"/>
          <w:sz w:val="21"/>
        </w:rPr>
        <w:t>[Nom de l'organisation] doit évaluer les contrôles protégeant les CUI [défini par l'organisation : au moins annuellement et lors d'un changement important; recommandé : annuellement] afin de déterminer s'ils sont mis en œuvre correctement et fonctionnent efficacement.</w:t>
      </w:r>
    </w:p>
    <w:p>
      <w:r>
        <w:rPr>
          <w:rFonts w:ascii="Arial" w:hAnsi="Arial"/>
          <w:b/>
          <w:color w:val="2E5FA3"/>
          <w:sz w:val="21"/>
        </w:rPr>
        <w:t>PS-2  Plan d'action et de jalons (POA&amp;M)</w:t>
      </w:r>
    </w:p>
    <w:p>
      <w:r>
        <w:rPr>
          <w:rFonts w:ascii="Arial" w:hAnsi="Arial"/>
          <w:sz w:val="21"/>
        </w:rPr>
        <w:t>Les déficiences relevées par les évaluations, analyses ou la surveillance doivent être consignées dans un POA&amp;M avec responsables, mesures prévues et dates de jalons, et suivies jusqu'à résolution.</w:t>
      </w:r>
    </w:p>
    <w:p>
      <w:r>
        <w:rPr>
          <w:rFonts w:ascii="Arial" w:hAnsi="Arial"/>
          <w:b/>
          <w:color w:val="2E5FA3"/>
          <w:sz w:val="21"/>
        </w:rPr>
        <w:t>PS-3  Surveillance continue</w:t>
      </w:r>
    </w:p>
    <w:p>
      <w:r>
        <w:rPr>
          <w:rFonts w:ascii="Arial" w:hAnsi="Arial"/>
          <w:sz w:val="21"/>
        </w:rPr>
        <w:t>L'organisation doit surveiller en continu sa posture au moyen d'un ensemble défini d'indicateurs et d'activités (analyses de vulnérabilités, revue des journaux/alertes, conformité de configuration, vérifications de contrôles) à des fréquences définies.</w:t>
      </w:r>
    </w:p>
    <w:p>
      <w:r>
        <w:rPr>
          <w:rFonts w:ascii="Arial" w:hAnsi="Arial"/>
          <w:b/>
          <w:color w:val="2E5FA3"/>
          <w:sz w:val="21"/>
        </w:rPr>
        <w:t>PS-4  Indépendance et preuves d'évaluation</w:t>
      </w:r>
    </w:p>
    <w:p>
      <w:r>
        <w:rPr>
          <w:rFonts w:ascii="Arial" w:hAnsi="Arial"/>
          <w:sz w:val="21"/>
        </w:rPr>
        <w:t>Les évaluations doivent s'appuyer sur des preuves objectives; lorsque possible, les évaluateurs devraient être indépendants du contrôle qu'ils évaluent.</w:t>
      </w:r>
    </w:p>
    <w:p>
      <w:r>
        <w:rPr>
          <w:rFonts w:ascii="Arial" w:hAnsi="Arial"/>
          <w:b/>
          <w:color w:val="2E5FA3"/>
          <w:sz w:val="21"/>
        </w:rPr>
        <w:t>PS-5  Rapports</w:t>
      </w:r>
    </w:p>
    <w:p>
      <w:r>
        <w:rPr>
          <w:rFonts w:ascii="Arial" w:hAnsi="Arial"/>
          <w:sz w:val="21"/>
        </w:rPr>
        <w:t>Les résultats d'évaluation, l'état du POA&amp;M et les indicateurs de surveillance doivent être communiqués à la direction selon une cadence définie afin d'éclairer les décisions de risque.</w:t>
      </w:r>
    </w:p>
    <w:p>
      <w:r>
        <w:rPr>
          <w:rFonts w:ascii="Arial" w:hAnsi="Arial"/>
          <w:b/>
          <w:color w:val="2E5FA3"/>
          <w:sz w:val="21"/>
        </w:rPr>
        <w:t>PS-6  Échange d'information</w:t>
      </w:r>
    </w:p>
    <w:p>
      <w:r>
        <w:rPr>
          <w:rFonts w:ascii="Arial" w:hAnsi="Arial"/>
          <w:sz w:val="21"/>
        </w:rPr>
        <w:t>Lorsque des systèmes visés échangent de l'information avec des systèmes externes, l'échange doit être régi par des ententes définissant les responsabilités et exigences de sécurité.</w:t>
      </w:r>
    </w:p>
    <w:p>
      <w:pPr>
        <w:spacing w:before="200" w:after="80"/>
      </w:pPr>
      <w:r>
        <w:rPr>
          <w:rFonts w:ascii="Arial" w:hAnsi="Arial"/>
          <w:b/>
          <w:color w:val="2E5FA3"/>
          <w:sz w:val="26"/>
        </w:rPr>
        <w:t>6.  Procédures et preuves d'audit</w:t>
      </w:r>
    </w:p>
    <w:p>
      <w:r>
        <w:rPr>
          <w:rFonts w:ascii="Arial" w:hAnsi="Arial"/>
          <w:sz w:val="21"/>
        </w:rPr>
        <w:t>6.1  Évaluer et suivre</w:t>
      </w:r>
    </w:p>
    <w:p>
      <w:pPr>
        <w:ind w:left="360"/>
      </w:pPr>
      <w:r>
        <w:rPr>
          <w:rFonts w:ascii="Arial" w:hAnsi="Arial"/>
          <w:sz w:val="21"/>
        </w:rPr>
        <w:t>•  Planifier et réaliser l'évaluation périodique avec preuves.</w:t>
      </w:r>
    </w:p>
    <w:p>
      <w:pPr>
        <w:ind w:left="360"/>
      </w:pPr>
      <w:r>
        <w:rPr>
          <w:rFonts w:ascii="Arial" w:hAnsi="Arial"/>
          <w:sz w:val="21"/>
        </w:rPr>
        <w:t>•  Consigner les déficiences au POA&amp;M; assigner responsables et jalons; suivre jusqu'à résolution.</w:t>
      </w:r>
    </w:p>
    <w:p>
      <w:r>
        <w:rPr>
          <w:rFonts w:ascii="Arial" w:hAnsi="Arial"/>
          <w:b/>
          <w:sz w:val="21"/>
        </w:rPr>
        <w:t xml:space="preserve">Preuves d'audit : </w:t>
      </w:r>
      <w:r>
        <w:rPr>
          <w:rFonts w:ascii="Arial" w:hAnsi="Arial"/>
          <w:sz w:val="21"/>
        </w:rPr>
        <w:t>Plan et résultats d'évaluation; POA&amp;M (daté, mis à jour).</w:t>
      </w:r>
    </w:p>
    <w:p>
      <w:r>
        <w:rPr>
          <w:rFonts w:ascii="Arial" w:hAnsi="Arial"/>
          <w:sz w:val="21"/>
        </w:rPr>
        <w:t>6.2  Surveiller et rapporter</w:t>
      </w:r>
    </w:p>
    <w:p>
      <w:pPr>
        <w:ind w:left="360"/>
      </w:pPr>
      <w:r>
        <w:rPr>
          <w:rFonts w:ascii="Arial" w:hAnsi="Arial"/>
          <w:sz w:val="21"/>
        </w:rPr>
        <w:t>•  Exécuter les activités de surveillance continue aux fréquences définies.</w:t>
      </w:r>
    </w:p>
    <w:p>
      <w:pPr>
        <w:ind w:left="360"/>
      </w:pPr>
      <w:r>
        <w:rPr>
          <w:rFonts w:ascii="Arial" w:hAnsi="Arial"/>
          <w:sz w:val="21"/>
        </w:rPr>
        <w:t>•  Communiquer la posture, l'état du POA&amp;M et les indicateurs à la direction.</w:t>
      </w:r>
    </w:p>
    <w:p>
      <w:r>
        <w:rPr>
          <w:rFonts w:ascii="Arial" w:hAnsi="Arial"/>
          <w:b/>
          <w:sz w:val="21"/>
        </w:rPr>
        <w:t xml:space="preserve">Preuves d'audit : </w:t>
      </w:r>
      <w:r>
        <w:rPr>
          <w:rFonts w:ascii="Arial" w:hAnsi="Arial"/>
          <w:sz w:val="21"/>
        </w:rPr>
        <w:t>Indicateurs/tableaux de bord de surveillance; registres d'analyse et de revue; rapports à la direction.</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les contrôles sont évalués selon le calendrier, que les déficiences sont suivies dans le POA&amp;M jusqu'à résolution, que la surveillance continue a lieu et que les résultats sont communiqués.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d'évaluation des risques — entrées de risque et analyse des vulnérabilités.</w:t>
      </w:r>
    </w:p>
    <w:p>
      <w:pPr>
        <w:ind w:left="360"/>
      </w:pPr>
      <w:r>
        <w:rPr>
          <w:rFonts w:ascii="Arial" w:hAnsi="Arial"/>
          <w:sz w:val="21"/>
        </w:rPr>
        <w:t>•  Politique d'audit et de responsabilisation — revue des journaux alimentant la surveillance.</w:t>
      </w:r>
    </w:p>
    <w:p>
      <w:pPr>
        <w:ind w:left="360"/>
      </w:pPr>
      <w:r>
        <w:rPr>
          <w:rFonts w:ascii="Arial" w:hAnsi="Arial"/>
          <w:sz w:val="21"/>
        </w:rPr>
        <w:t>•  Politique de gestion de la configuration — vérifications de conformité de configuration.</w:t>
      </w:r>
    </w:p>
    <w:p>
      <w:pPr>
        <w:ind w:left="360"/>
      </w:pPr>
      <w:r>
        <w:rPr>
          <w:rFonts w:ascii="Arial" w:hAnsi="Arial"/>
          <w:sz w:val="21"/>
        </w:rPr>
        <w:t>•  Plan de sécurité du système (SSP) — base de mise en œuvre des contrôles.</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03.12);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03.12.01  Évaluation de la sécurité</w:t>
            </w:r>
          </w:p>
        </w:tc>
        <w:tc>
          <w:tcPr>
            <w:tcW w:type="dxa" w:w="3360"/>
          </w:tcPr>
          <w:p>
            <w:r/>
            <w:r>
              <w:rPr>
                <w:rFonts w:ascii="Arial" w:hAnsi="Arial"/>
                <w:b w:val="0"/>
                <w:sz w:val="20"/>
              </w:rPr>
              <w:t>PS-1, PS-4 — évaluation périodique avec preuves</w:t>
            </w:r>
          </w:p>
        </w:tc>
        <w:tc>
          <w:tcPr>
            <w:tcW w:type="dxa" w:w="3360"/>
          </w:tcPr>
          <w:p>
            <w:r/>
            <w:r>
              <w:rPr>
                <w:rFonts w:ascii="Arial" w:hAnsi="Arial"/>
                <w:b w:val="0"/>
                <w:sz w:val="20"/>
              </w:rPr>
              <w:t>Plan et résultats d'évaluation</w:t>
            </w:r>
          </w:p>
        </w:tc>
      </w:tr>
      <w:tr>
        <w:tc>
          <w:tcPr>
            <w:tcW w:type="dxa" w:w="3360"/>
          </w:tcPr>
          <w:p>
            <w:r/>
            <w:r>
              <w:rPr>
                <w:rFonts w:ascii="Arial" w:hAnsi="Arial"/>
                <w:b w:val="0"/>
                <w:sz w:val="20"/>
              </w:rPr>
              <w:t>03.12.02  Plan d'action et de jalons</w:t>
            </w:r>
          </w:p>
        </w:tc>
        <w:tc>
          <w:tcPr>
            <w:tcW w:type="dxa" w:w="3360"/>
          </w:tcPr>
          <w:p>
            <w:r/>
            <w:r>
              <w:rPr>
                <w:rFonts w:ascii="Arial" w:hAnsi="Arial"/>
                <w:b w:val="0"/>
                <w:sz w:val="20"/>
              </w:rPr>
              <w:t>PS-2 — POA&amp;M</w:t>
            </w:r>
          </w:p>
        </w:tc>
        <w:tc>
          <w:tcPr>
            <w:tcW w:type="dxa" w:w="3360"/>
          </w:tcPr>
          <w:p>
            <w:r/>
            <w:r>
              <w:rPr>
                <w:rFonts w:ascii="Arial" w:hAnsi="Arial"/>
                <w:b w:val="0"/>
                <w:sz w:val="20"/>
              </w:rPr>
              <w:t>POA&amp;M (daté, suivi)</w:t>
            </w:r>
          </w:p>
        </w:tc>
      </w:tr>
      <w:tr>
        <w:tc>
          <w:tcPr>
            <w:tcW w:type="dxa" w:w="3360"/>
          </w:tcPr>
          <w:p>
            <w:r/>
            <w:r>
              <w:rPr>
                <w:rFonts w:ascii="Arial" w:hAnsi="Arial"/>
                <w:b w:val="0"/>
                <w:sz w:val="20"/>
              </w:rPr>
              <w:t>03.12.03  Surveillance continue</w:t>
            </w:r>
          </w:p>
        </w:tc>
        <w:tc>
          <w:tcPr>
            <w:tcW w:type="dxa" w:w="3360"/>
          </w:tcPr>
          <w:p>
            <w:r/>
            <w:r>
              <w:rPr>
                <w:rFonts w:ascii="Arial" w:hAnsi="Arial"/>
                <w:b w:val="0"/>
                <w:sz w:val="20"/>
              </w:rPr>
              <w:t>PS-3, PS-5 — surveillance et rapports</w:t>
            </w:r>
          </w:p>
        </w:tc>
        <w:tc>
          <w:tcPr>
            <w:tcW w:type="dxa" w:w="3360"/>
          </w:tcPr>
          <w:p>
            <w:r/>
            <w:r>
              <w:rPr>
                <w:rFonts w:ascii="Arial" w:hAnsi="Arial"/>
                <w:b w:val="0"/>
                <w:sz w:val="20"/>
              </w:rPr>
              <w:t>Indicateurs de surveillance; rapports à la direction</w:t>
            </w:r>
          </w:p>
        </w:tc>
      </w:tr>
      <w:tr>
        <w:tc>
          <w:tcPr>
            <w:tcW w:type="dxa" w:w="3360"/>
          </w:tcPr>
          <w:p>
            <w:r/>
            <w:r>
              <w:rPr>
                <w:rFonts w:ascii="Arial" w:hAnsi="Arial"/>
                <w:b w:val="0"/>
                <w:sz w:val="20"/>
              </w:rPr>
              <w:t>03.12.05  Échange d'information</w:t>
            </w:r>
          </w:p>
        </w:tc>
        <w:tc>
          <w:tcPr>
            <w:tcW w:type="dxa" w:w="3360"/>
          </w:tcPr>
          <w:p>
            <w:r/>
            <w:r>
              <w:rPr>
                <w:rFonts w:ascii="Arial" w:hAnsi="Arial"/>
                <w:b w:val="0"/>
                <w:sz w:val="20"/>
              </w:rPr>
              <w:t>PS-6 — ententes d'échange</w:t>
            </w:r>
          </w:p>
        </w:tc>
        <w:tc>
          <w:tcPr>
            <w:tcW w:type="dxa" w:w="3360"/>
          </w:tcPr>
          <w:p>
            <w:r/>
            <w:r>
              <w:rPr>
                <w:rFonts w:ascii="Arial" w:hAnsi="Arial"/>
                <w:b w:val="0"/>
                <w:sz w:val="20"/>
              </w:rPr>
              <w:t>Ententes d'interconnexion/de partage de données</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