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[INSERT ORGANIZATION LOGO]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24"/>
              </w:rPr>
              <w:t>[Organization Name]</w:t>
            </w:r>
          </w:p>
          <w:p>
            <w:r>
              <w:rPr>
                <w:rFonts w:ascii="Arial" w:hAnsi="Arial"/>
                <w:b/>
                <w:color w:val="2E5FA3"/>
                <w:sz w:val="28"/>
              </w:rPr>
              <w:t>Security Awareness &amp; Training Policy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Name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Security Awareness &amp; Training Policy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Version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[1.0]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Owner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Approved By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[CEO / CISO]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Effective Date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Last Reviewed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Review Cadence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Annual (or upon major change)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Classification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[CUI / Internal]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1.  Purpose</w:t>
      </w:r>
    </w:p>
    <w:p>
      <w:r>
        <w:rPr>
          <w:rFonts w:ascii="Arial" w:hAnsi="Arial"/>
          <w:sz w:val="21"/>
        </w:rPr>
        <w:t>This policy establishes how [Organization Name] ensures personnel receive security awareness and role-based training appropriate to their duties, so they can recognize and respond to threats and properly protect Controlled Unclassified Information (CUI). People are a primary line of defense; informed staff prevent and report incidents. This policy defines awareness training, role-based training, and tracking.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2.  Scope</w:t>
      </w:r>
    </w:p>
    <w:p>
      <w:r>
        <w:rPr>
          <w:rFonts w:ascii="Arial" w:hAnsi="Arial"/>
          <w:sz w:val="21"/>
        </w:rPr>
        <w:t>This policy applies to:</w:t>
      </w:r>
    </w:p>
    <w:p>
      <w:pPr>
        <w:ind w:left="360"/>
      </w:pPr>
      <w:r>
        <w:rPr>
          <w:rFonts w:ascii="Arial" w:hAnsi="Arial"/>
          <w:sz w:val="21"/>
        </w:rPr>
        <w:t>•  All employees, contractors, and third parties with access to in-scope systems or CUI.</w:t>
      </w:r>
    </w:p>
    <w:p>
      <w:pPr>
        <w:ind w:left="360"/>
      </w:pPr>
      <w:r>
        <w:rPr>
          <w:rFonts w:ascii="Arial" w:hAnsi="Arial"/>
          <w:sz w:val="21"/>
        </w:rPr>
        <w:t>•  Awareness training at onboarding and recurring intervals, plus role-based training.</w:t>
      </w:r>
    </w:p>
    <w:p>
      <w:pPr>
        <w:ind w:left="360"/>
      </w:pPr>
      <w:r>
        <w:rPr>
          <w:rFonts w:ascii="Arial" w:hAnsi="Arial"/>
          <w:sz w:val="21"/>
        </w:rPr>
        <w:t>•  Tracking of training completion.</w:t>
      </w:r>
    </w:p>
    <w:p>
      <w:r>
        <w:rPr>
          <w:rFonts w:ascii="Arial" w:hAnsi="Arial"/>
          <w:sz w:val="21"/>
        </w:rPr>
        <w:t>Where CUI is involved, the requirements in this policy are mandatory and supersede convenience or operational preferences.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3.  Definitions</w:t>
      </w:r>
    </w:p>
    <w:p>
      <w:r>
        <w:rPr>
          <w:rFonts w:ascii="Arial" w:hAnsi="Arial"/>
          <w:b/>
          <w:sz w:val="21"/>
        </w:rPr>
        <w:t xml:space="preserve">Security Awareness Training: </w:t>
      </w:r>
      <w:r>
        <w:rPr>
          <w:rFonts w:ascii="Arial" w:hAnsi="Arial"/>
          <w:sz w:val="21"/>
        </w:rPr>
        <w:t>General training that helps all users recognize and avoid common threats (e.g., phishing).</w:t>
      </w:r>
    </w:p>
    <w:p>
      <w:r>
        <w:rPr>
          <w:rFonts w:ascii="Arial" w:hAnsi="Arial"/>
          <w:b/>
          <w:sz w:val="21"/>
        </w:rPr>
        <w:t xml:space="preserve">Role-Based Training: </w:t>
      </w:r>
      <w:r>
        <w:rPr>
          <w:rFonts w:ascii="Arial" w:hAnsi="Arial"/>
          <w:sz w:val="21"/>
        </w:rPr>
        <w:t>Training tailored to the security responsibilities of a specific role (e.g., admins, developers).</w:t>
      </w:r>
    </w:p>
    <w:p>
      <w:r>
        <w:rPr>
          <w:rFonts w:ascii="Arial" w:hAnsi="Arial"/>
          <w:b/>
          <w:sz w:val="21"/>
        </w:rPr>
        <w:t xml:space="preserve">Phishing Simulation: </w:t>
      </w:r>
      <w:r>
        <w:rPr>
          <w:rFonts w:ascii="Arial" w:hAnsi="Arial"/>
          <w:sz w:val="21"/>
        </w:rPr>
        <w:t>A controlled exercise that tests users' ability to recognize phishing.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4.  Roles &amp; Responsibilities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Key Responsibilities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Own this policy; define training content and cadence; track completion; report metrics.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[Human Resources]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Assign training at onboarding; support tracking and follow-up.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[Department Manager / Supervisor]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Ensure their team completes required training.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All Users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Complete assigned training; apply it; report suspected threats.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[Senior Leadership / CISO]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Approve this policy; reinforce a security culture.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5.  Policy Statements</w:t>
      </w:r>
    </w:p>
    <w:p>
      <w:r>
        <w:rPr>
          <w:rFonts w:ascii="Arial" w:hAnsi="Arial"/>
          <w:b/>
          <w:color w:val="2E5FA3"/>
          <w:sz w:val="21"/>
        </w:rPr>
        <w:t>PS-1  Security Awareness Training</w:t>
      </w:r>
    </w:p>
    <w:p>
      <w:r>
        <w:rPr>
          <w:rFonts w:ascii="Arial" w:hAnsi="Arial"/>
          <w:sz w:val="21"/>
        </w:rPr>
        <w:t>All users must complete security awareness training at onboarding and at least [organization-defined: annually; recommended: annually], including recognizing phishing, social engineering, and proper CUI handling.</w:t>
      </w:r>
    </w:p>
    <w:p>
      <w:r>
        <w:rPr>
          <w:rFonts w:ascii="Arial" w:hAnsi="Arial"/>
          <w:b/>
          <w:color w:val="2E5FA3"/>
          <w:sz w:val="21"/>
        </w:rPr>
        <w:t>PS-2  Ongoing Awareness &amp; Phishing Simulation</w:t>
      </w:r>
    </w:p>
    <w:p>
      <w:r>
        <w:rPr>
          <w:rFonts w:ascii="Arial" w:hAnsi="Arial"/>
          <w:sz w:val="21"/>
        </w:rPr>
        <w:t>The organization must reinforce awareness through periodic communications and phishing simulations, using results to target additional training.</w:t>
      </w:r>
    </w:p>
    <w:p>
      <w:r>
        <w:rPr>
          <w:rFonts w:ascii="Arial" w:hAnsi="Arial"/>
          <w:b/>
          <w:color w:val="2E5FA3"/>
          <w:sz w:val="21"/>
        </w:rPr>
        <w:t>PS-3  Role-Based Training</w:t>
      </w:r>
    </w:p>
    <w:p>
      <w:r>
        <w:rPr>
          <w:rFonts w:ascii="Arial" w:hAnsi="Arial"/>
          <w:sz w:val="21"/>
        </w:rPr>
        <w:t>Personnel with significant security responsibilities (e.g., administrators, developers, incident responders, those handling CUI) must receive role-based training appropriate to their duties before or shortly after assuming the role and periodically thereafter.</w:t>
      </w:r>
    </w:p>
    <w:p>
      <w:r>
        <w:rPr>
          <w:rFonts w:ascii="Arial" w:hAnsi="Arial"/>
          <w:b/>
          <w:color w:val="2E5FA3"/>
          <w:sz w:val="21"/>
        </w:rPr>
        <w:t>PS-4  Training on Policies &amp; CUI Handling</w:t>
      </w:r>
    </w:p>
    <w:p>
      <w:r>
        <w:rPr>
          <w:rFonts w:ascii="Arial" w:hAnsi="Arial"/>
          <w:sz w:val="21"/>
        </w:rPr>
        <w:t>Training must cover the organization's security policies, acceptable use, and the specific requirements for handling CUI.</w:t>
      </w:r>
    </w:p>
    <w:p>
      <w:r>
        <w:rPr>
          <w:rFonts w:ascii="Arial" w:hAnsi="Arial"/>
          <w:b/>
          <w:color w:val="2E5FA3"/>
          <w:sz w:val="21"/>
        </w:rPr>
        <w:t>PS-5  Completion Tracking</w:t>
      </w:r>
    </w:p>
    <w:p>
      <w:r>
        <w:rPr>
          <w:rFonts w:ascii="Arial" w:hAnsi="Arial"/>
          <w:sz w:val="21"/>
        </w:rPr>
        <w:t>Training completion must be tracked, and non-completion followed up; records must be retained as evidence.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6.  Procedures &amp; Audit Evidence</w:t>
      </w:r>
    </w:p>
    <w:p>
      <w:r>
        <w:rPr>
          <w:rFonts w:ascii="Arial" w:hAnsi="Arial"/>
          <w:sz w:val="21"/>
        </w:rPr>
        <w:t>6.1  Deliver &amp; Track</w:t>
      </w:r>
    </w:p>
    <w:p>
      <w:pPr>
        <w:ind w:left="360"/>
      </w:pPr>
      <w:r>
        <w:rPr>
          <w:rFonts w:ascii="Arial" w:hAnsi="Arial"/>
          <w:sz w:val="21"/>
        </w:rPr>
        <w:t>•  Assign awareness training at onboarding and annually; deliver role-based training to relevant staff.</w:t>
      </w:r>
    </w:p>
    <w:p>
      <w:pPr>
        <w:ind w:left="360"/>
      </w:pPr>
      <w:r>
        <w:rPr>
          <w:rFonts w:ascii="Arial" w:hAnsi="Arial"/>
          <w:sz w:val="21"/>
        </w:rPr>
        <w:t>•  Run phishing simulations; track completion and follow up on gaps.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Training assignments and completion records; phishing-simulation results; role-based training records.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7.  Compliance, Monitoring &amp; Enforcement</w:t>
      </w:r>
    </w:p>
    <w:p>
      <w:r>
        <w:rPr>
          <w:rFonts w:ascii="Arial" w:hAnsi="Arial"/>
          <w:sz w:val="21"/>
        </w:rPr>
        <w:t>The [IT Manager / ISSO] shall review compliance with this policy at least [quarterly] by verifying awareness training is completed at onboarding and annually, role-based training is delivered, and completion is tracked. Results shall be reported to [Senior Leadership / CISO].</w:t>
      </w:r>
    </w:p>
    <w:p>
      <w:r>
        <w:rPr>
          <w:rFonts w:ascii="Arial" w:hAnsi="Arial"/>
          <w:sz w:val="21"/>
        </w:rPr>
        <w:t>Violations may result in:</w:t>
      </w:r>
    </w:p>
    <w:p>
      <w:pPr>
        <w:ind w:left="360"/>
      </w:pPr>
      <w:r>
        <w:rPr>
          <w:rFonts w:ascii="Arial" w:hAnsi="Arial"/>
          <w:sz w:val="21"/>
        </w:rPr>
        <w:t>•  Remediation of the deficiency within a timeframe set by the policy owner based on risk.</w:t>
      </w:r>
    </w:p>
    <w:p>
      <w:pPr>
        <w:ind w:left="360"/>
      </w:pPr>
      <w:r>
        <w:rPr>
          <w:rFonts w:ascii="Arial" w:hAnsi="Arial"/>
          <w:sz w:val="21"/>
        </w:rPr>
        <w:t>•  Disciplinary action up to and including termination of employment or contract, consistent with [Organization Name]'s disciplinary procedures.</w:t>
      </w:r>
    </w:p>
    <w:p>
      <w:pPr>
        <w:ind w:left="360"/>
      </w:pPr>
      <w:r>
        <w:rPr>
          <w:rFonts w:ascii="Arial" w:hAnsi="Arial"/>
          <w:sz w:val="21"/>
        </w:rPr>
        <w:t>•  Referral to law enforcement and notification to government contracting officers where CUI or criminal activity is involved, as required by the applicable contract or regulation.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8.  Exceptions</w:t>
      </w:r>
    </w:p>
    <w:p>
      <w:r>
        <w:rPr>
          <w:rFonts w:ascii="Arial" w:hAnsi="Arial"/>
          <w:sz w:val="21"/>
        </w:rPr>
        <w:t>Exceptions to this policy must be rare. To request one:</w:t>
      </w:r>
    </w:p>
    <w:p>
      <w:pPr>
        <w:ind w:left="360"/>
      </w:pPr>
      <w:r>
        <w:rPr>
          <w:rFonts w:ascii="Arial" w:hAnsi="Arial"/>
          <w:sz w:val="21"/>
        </w:rPr>
        <w:t>•  The requester submits a written exception to the policy owner describing the requirement that cannot be met, the business justification, the risk introduced, and proposed compensating controls.</w:t>
      </w:r>
    </w:p>
    <w:p>
      <w:pPr>
        <w:ind w:left="360"/>
      </w:pPr>
      <w:r>
        <w:rPr>
          <w:rFonts w:ascii="Arial" w:hAnsi="Arial"/>
          <w:sz w:val="21"/>
        </w:rPr>
        <w:t>•  The policy owner assesses the risk and prepares a recommendation; [Senior Leadership / CISO] approves or denies the exception in writing.</w:t>
      </w:r>
    </w:p>
    <w:p>
      <w:pPr>
        <w:ind w:left="360"/>
      </w:pPr>
      <w:r>
        <w:rPr>
          <w:rFonts w:ascii="Arial" w:hAnsi="Arial"/>
          <w:sz w:val="21"/>
        </w:rPr>
        <w:t>•  Approved exceptions are logged in the Exception Register with an expiry of no more than [organization-defined: 12 months; recommended: 12 months], reviewed upon expiry, and reflected as a plan of action and milestones (POA&amp;M) item in the SSP where CUI systems are affected.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9.  Related Documents</w:t>
      </w:r>
    </w:p>
    <w:p>
      <w:pPr>
        <w:ind w:left="360"/>
      </w:pPr>
      <w:r>
        <w:rPr>
          <w:rFonts w:ascii="Arial" w:hAnsi="Arial"/>
          <w:sz w:val="21"/>
        </w:rPr>
        <w:t>•  Personnel Security Policy — onboarding that triggers training.</w:t>
      </w:r>
    </w:p>
    <w:p>
      <w:pPr>
        <w:ind w:left="360"/>
      </w:pPr>
      <w:r>
        <w:rPr>
          <w:rFonts w:ascii="Arial" w:hAnsi="Arial"/>
          <w:sz w:val="21"/>
        </w:rPr>
        <w:t>•  Access Control Policy — training completed before CUI access.</w:t>
      </w:r>
    </w:p>
    <w:p>
      <w:pPr>
        <w:ind w:left="360"/>
      </w:pPr>
      <w:r>
        <w:rPr>
          <w:rFonts w:ascii="Arial" w:hAnsi="Arial"/>
          <w:sz w:val="21"/>
        </w:rPr>
        <w:t>•  Incident Response Policy &amp; Plan — how to report incidents.</w:t>
      </w:r>
    </w:p>
    <w:p>
      <w:pPr>
        <w:ind w:left="360"/>
      </w:pPr>
      <w:r>
        <w:rPr>
          <w:rFonts w:ascii="Arial" w:hAnsi="Arial"/>
          <w:sz w:val="21"/>
        </w:rPr>
        <w:t>•  System Security Plan (SSP) — roles requiring role-based training.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10.  Control Mapping</w:t>
      </w:r>
    </w:p>
    <w:p>
      <w:r>
        <w:rPr>
          <w:rFonts w:ascii="Arial" w:hAnsi="Arial"/>
          <w:sz w:val="21"/>
        </w:rPr>
        <w:t>The table below maps each required control to the policy statement(s) that satisfy it and the evidence an auditor will seek. Control IDs are from NIST SP 800-171 Rev 3 (family 03.02); they are equally applicable to CMMC 2.0 Level 2 and ITSP.10.171 (CPCSC).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Control ID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Policy Statement(s)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Expected Audit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03.02.01  Literacy Training and Awareness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PS-1, PS-2, PS-4 — awareness; phishing; policy/CUI handling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Awareness training records; phishing-simulation results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03.02.02  Role-Based Training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PS-3, PS-5 — role-based training; tracking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Role-based training records; completion tracking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11.  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Author / Role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Summary of Changes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1.0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Initial policy release.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1"/>
      </w:pBdr>
      <w:spacing w:before="80"/>
      <w:jc w:val="center"/>
    </w:pPr>
    <w:r>
      <w:rPr>
        <w:rFonts w:ascii="Arial" w:cs="Arial" w:eastAsia="Arial" w:hAnsi="Arial"/>
        <w:i/>
        <w:iCs/>
        <w:color w:val="8096B0"/>
        <w:sz w:val="15"/>
        <w:szCs w:val="15"/>
      </w:rPr>
      <w:t xml:space="preserve">CONFIDENTIAL — For internal use only. Review annually or upon significant change.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1"/>
      </w:pBdr>
      <w:spacing w:after="80"/>
      <w:jc w:val="right"/>
    </w:pPr>
    <w:r>
      <w:rPr>
        <w:rFonts w:ascii="Arial" w:cs="Arial" w:eastAsia="Arial" w:hAnsi="Arial"/>
        <w:color w:val="8096B0"/>
        <w:sz w:val="16"/>
        <w:szCs w:val="16"/>
      </w:rPr>
      <w:t xml:space="preserve">[Organization Name]  |  Access Control Policy  |  v[1.0]  |  </w:t>
    </w:r>
    <w:r>
      <w:rPr>
        <w:rFonts w:ascii="Arial" w:cs="Arial" w:eastAsia="Arial" w:hAnsi="Arial"/>
        <w:color w:val="8096B0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PS-%1."/>
      <w:lvlJc w:val="left"/>
      <w:pPr>
        <w:ind w:left="70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2026-06-06T13:50:17.851Z</dcterms:created>
  <dcterms:modified xsi:type="dcterms:W3CDTF">2026-06-06T13:50:17.852Z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